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79" w:rsidRDefault="00D32A79" w:rsidP="00D32A79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 xml:space="preserve">DÉCIMA </w:t>
      </w:r>
      <w:r>
        <w:rPr>
          <w:rFonts w:ascii="Arial" w:hAnsi="Arial" w:cs="Arial"/>
          <w:b/>
          <w:color w:val="000000" w:themeColor="text1"/>
        </w:rPr>
        <w:t>SESIÓN ORDINARIA DE LA COMISIÓN EDILICIA PERMANENTE DE DESARROLLO URBANO DEL H. AYUNTAMIENTO DE EL SALTO, JALISCO.</w:t>
      </w:r>
    </w:p>
    <w:p w:rsidR="00D32A79" w:rsidRDefault="00D32A79" w:rsidP="00D32A7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11:00 (once horas) del día </w:t>
      </w:r>
      <w:r>
        <w:rPr>
          <w:rFonts w:ascii="Arial" w:hAnsi="Arial" w:cs="Arial"/>
          <w:color w:val="000000" w:themeColor="text1"/>
        </w:rPr>
        <w:t xml:space="preserve">lunes 11 (once) de julio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Desarrollo Urbano del H. Ayuntamiento Constitucional de El Salto, Jalisco; presidida por la Presidenta Municipal Lic. Ma. Elena Farías Villafán, para celebrar la </w:t>
      </w:r>
      <w:r>
        <w:rPr>
          <w:rFonts w:ascii="Arial" w:hAnsi="Arial" w:cs="Arial"/>
          <w:color w:val="000000" w:themeColor="text1"/>
        </w:rPr>
        <w:t>décima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D32A79" w:rsidRDefault="00D32A79" w:rsidP="00D32A7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32A79" w:rsidRDefault="00D32A79" w:rsidP="00D32A7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D32A79" w:rsidRDefault="00D32A79" w:rsidP="00D32A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D32A79" w:rsidRDefault="00D32A79" w:rsidP="00D32A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D32A79" w:rsidRDefault="00D32A79" w:rsidP="00D32A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>novena</w:t>
      </w:r>
      <w:r>
        <w:rPr>
          <w:rFonts w:ascii="Arial" w:hAnsi="Arial" w:cs="Arial"/>
          <w:b/>
          <w:bCs/>
        </w:rPr>
        <w:t xml:space="preserve"> sesión ordinaria de la comisión de Desarrollo Urbano.</w:t>
      </w:r>
    </w:p>
    <w:p w:rsidR="00D32A79" w:rsidRDefault="00D32A79" w:rsidP="00D32A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D32A79" w:rsidRDefault="00D32A79" w:rsidP="00D32A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Dictámenes a discusión</w:t>
      </w:r>
    </w:p>
    <w:p w:rsidR="00D32A79" w:rsidRDefault="00D32A79" w:rsidP="00D32A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D32A79" w:rsidRDefault="00D32A79" w:rsidP="00D32A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síndico municipal, les doy la más cordial de las bienvenidas a esta que corresponde la </w:t>
      </w:r>
      <w:r>
        <w:rPr>
          <w:rFonts w:ascii="Arial" w:hAnsi="Arial" w:cs="Arial"/>
        </w:rPr>
        <w:t>décima</w:t>
      </w:r>
      <w:r>
        <w:rPr>
          <w:rFonts w:ascii="Arial" w:hAnsi="Arial" w:cs="Arial"/>
        </w:rPr>
        <w:t xml:space="preserve"> Sesión Ordinaria de la comisión edilicia permanente de Desarrollo Urbano, del Ayuntamiento a celebrarse el día de hoy </w:t>
      </w:r>
      <w:r>
        <w:rPr>
          <w:rFonts w:ascii="Arial" w:hAnsi="Arial" w:cs="Arial"/>
          <w:color w:val="000000" w:themeColor="text1"/>
        </w:rPr>
        <w:t xml:space="preserve">13 (trece) de junio </w:t>
      </w:r>
      <w:r>
        <w:rPr>
          <w:rFonts w:ascii="Arial" w:hAnsi="Arial" w:cs="Arial"/>
        </w:rPr>
        <w:t>del año</w:t>
      </w:r>
      <w:r>
        <w:rPr>
          <w:rFonts w:ascii="Arial" w:hAnsi="Arial" w:cs="Arial"/>
        </w:rPr>
        <w:t xml:space="preserve"> 2025 siendo las 11 horas con 05</w:t>
      </w:r>
      <w:r>
        <w:rPr>
          <w:rFonts w:ascii="Arial" w:hAnsi="Arial" w:cs="Arial"/>
        </w:rPr>
        <w:t xml:space="preserve"> minutos. Acto continuo solicito al Secretario Técnico Lic. Marcos Alejandro Moreno Franco, registre la asistencia de los ciudadanos ediles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D32A79" w:rsidRDefault="00D32A79" w:rsidP="00D32A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D32A79" w:rsidTr="00D32A79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A79" w:rsidRDefault="00D32A79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79" w:rsidRDefault="00D32A79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32A79" w:rsidTr="00D32A79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32A79" w:rsidRDefault="00D32A7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79" w:rsidRDefault="00D32A7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32A79" w:rsidTr="00D32A79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32A79" w:rsidRDefault="00D32A7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79" w:rsidRDefault="00D32A7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32A79" w:rsidTr="00D32A79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79" w:rsidRDefault="00D32A7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79" w:rsidRDefault="00D32A7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32A79" w:rsidTr="00D32A79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A79" w:rsidRDefault="00D32A7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79" w:rsidRDefault="00D32A7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D32A79" w:rsidRDefault="00D32A79" w:rsidP="00D32A79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Desarrollo Urbano, por lo cual de conformidad a lo dispuesto por el artículo 12 y 15 del reglamento interno de las comisiones edilicias del municipio de El Salto, Jalisco puede sesionarse válidamente.</w:t>
      </w:r>
    </w:p>
    <w:p w:rsidR="00D32A79" w:rsidRDefault="00D32A79" w:rsidP="00D32A79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>décima</w:t>
      </w:r>
      <w:r>
        <w:rPr>
          <w:rFonts w:ascii="Arial" w:hAnsi="Arial" w:cs="Arial"/>
        </w:rPr>
        <w:t xml:space="preserve"> sesión ordinaria de la comisión edilicia permanente de Desarrollo Urbano siendo las 11 horas con 07 minutos del día </w:t>
      </w:r>
      <w:r>
        <w:rPr>
          <w:rFonts w:ascii="Arial" w:hAnsi="Arial" w:cs="Arial"/>
          <w:color w:val="000000" w:themeColor="text1"/>
        </w:rPr>
        <w:t xml:space="preserve">lunes 11 (once) de julio </w:t>
      </w:r>
      <w:r>
        <w:rPr>
          <w:rFonts w:ascii="Arial" w:hAnsi="Arial" w:cs="Arial"/>
        </w:rPr>
        <w:t xml:space="preserve">del año 2025. 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D32A79" w:rsidRDefault="00D32A79" w:rsidP="00D32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D32A79" w:rsidRDefault="00D32A79" w:rsidP="00D32A7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32A79" w:rsidRDefault="00D32A79" w:rsidP="00D32A7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D32A79" w:rsidRDefault="00D32A79" w:rsidP="00D32A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D32A79" w:rsidRDefault="00D32A79" w:rsidP="00D32A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D32A79" w:rsidRDefault="00D32A79" w:rsidP="00D32A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>novena</w:t>
      </w:r>
      <w:r>
        <w:rPr>
          <w:rFonts w:ascii="Arial" w:hAnsi="Arial" w:cs="Arial"/>
          <w:b/>
          <w:bCs/>
        </w:rPr>
        <w:t xml:space="preserve"> sesión ordinaria de la comisión de Desarrollo Urbano.</w:t>
      </w:r>
    </w:p>
    <w:p w:rsidR="00D32A79" w:rsidRDefault="00D32A79" w:rsidP="00D32A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D32A79" w:rsidRDefault="00D32A79" w:rsidP="00D32A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D32A79" w:rsidRDefault="00D32A79" w:rsidP="00D32A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D32A79" w:rsidRDefault="00D32A79" w:rsidP="00D32A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D32A79" w:rsidRDefault="00D32A79" w:rsidP="00D32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D32A79" w:rsidRDefault="00D32A79" w:rsidP="00D32A7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aprobación del acta de la </w:t>
      </w:r>
      <w:r>
        <w:rPr>
          <w:rFonts w:ascii="Arial" w:hAnsi="Arial" w:cs="Arial"/>
          <w:b/>
        </w:rPr>
        <w:t>novena</w:t>
      </w:r>
      <w:r>
        <w:rPr>
          <w:rFonts w:ascii="Arial" w:hAnsi="Arial" w:cs="Arial"/>
          <w:b/>
        </w:rPr>
        <w:t xml:space="preserve"> sesión ordinaria de la comisión de Desarrollo Urbano.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D32A79" w:rsidRDefault="00D32A79" w:rsidP="00D32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D32A79" w:rsidRDefault="00D32A79" w:rsidP="00D32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 presidenta.</w:t>
      </w:r>
    </w:p>
    <w:p w:rsidR="00D32A79" w:rsidRDefault="00D32A79" w:rsidP="00D32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D32A79" w:rsidRDefault="00D32A79" w:rsidP="00D32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este punto compañeras regidoras, síndico municipal les pregunto ¿si alguno de ustedes tiene algún tema a tratar o desea hacer el uso de la voz?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D32A79" w:rsidRDefault="00D32A79" w:rsidP="00D32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SÉPTIMO. - CLAUSURA.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D32A79" w:rsidRDefault="00D32A79" w:rsidP="00D32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11 horas con 10</w:t>
      </w:r>
      <w:bookmarkStart w:id="1" w:name="_GoBack"/>
      <w:bookmarkEnd w:id="1"/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D32A79" w:rsidRDefault="00D32A79" w:rsidP="00D32A7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D32A79" w:rsidRDefault="00D32A79" w:rsidP="00D32A7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D32A79" w:rsidRDefault="00D32A79" w:rsidP="00D32A7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D32A79" w:rsidRDefault="00D32A79" w:rsidP="00D32A79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D32A79" w:rsidRDefault="00D32A79" w:rsidP="00D32A79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D32A79" w:rsidTr="00D32A79">
        <w:tc>
          <w:tcPr>
            <w:tcW w:w="2693" w:type="dxa"/>
          </w:tcPr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Desarrollo Urbano.</w:t>
            </w: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Desarrollo Urbano.</w:t>
            </w: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D32A79" w:rsidTr="00D32A79">
        <w:tc>
          <w:tcPr>
            <w:tcW w:w="2693" w:type="dxa"/>
          </w:tcPr>
          <w:p w:rsidR="00D32A79" w:rsidRDefault="00D32A7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32A79" w:rsidRDefault="00D32A7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32A79" w:rsidRDefault="00D32A79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32A79" w:rsidRDefault="00D32A79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32A79" w:rsidRDefault="00D32A79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D32A79" w:rsidRDefault="00D32A79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D32A79" w:rsidTr="00D32A79">
        <w:tc>
          <w:tcPr>
            <w:tcW w:w="2693" w:type="dxa"/>
          </w:tcPr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32A79" w:rsidRDefault="00D32A7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D32A79" w:rsidRDefault="00D32A79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D32A79" w:rsidRDefault="00D32A7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D32A79" w:rsidRDefault="00D32A79" w:rsidP="00D32A79">
      <w:pPr>
        <w:rPr>
          <w:rFonts w:ascii="Arial" w:hAnsi="Arial" w:cs="Arial"/>
        </w:rPr>
      </w:pPr>
    </w:p>
    <w:p w:rsidR="00D32A79" w:rsidRDefault="00D32A79" w:rsidP="00D32A79"/>
    <w:p w:rsidR="00D32A79" w:rsidRDefault="00D32A79" w:rsidP="00D32A79"/>
    <w:p w:rsidR="00D32A79" w:rsidRDefault="00D32A79" w:rsidP="00D32A79"/>
    <w:p w:rsidR="00D32A79" w:rsidRDefault="00D32A79" w:rsidP="00D32A79"/>
    <w:p w:rsidR="00D32A79" w:rsidRDefault="00D32A79" w:rsidP="00D32A79"/>
    <w:p w:rsidR="00D32A79" w:rsidRDefault="00D32A79" w:rsidP="00D32A79"/>
    <w:p w:rsidR="00980C25" w:rsidRDefault="00D32A79"/>
    <w:sectPr w:rsidR="00980C25" w:rsidSect="00D32A79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79"/>
    <w:rsid w:val="006450FF"/>
    <w:rsid w:val="00D32A79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E5F5"/>
  <w15:chartTrackingRefBased/>
  <w15:docId w15:val="{0C8147D7-5A98-4DFC-834F-9B1FC44A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79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A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2A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2025-08-14T17:16:00Z</dcterms:created>
  <dcterms:modified xsi:type="dcterms:W3CDTF">2025-08-14T17:20:00Z</dcterms:modified>
</cp:coreProperties>
</file>