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Jefatura de Gabinete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Dirección de Planeación y Evaluación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2.0" w:type="dxa"/>
        <w:jc w:val="left"/>
        <w:tblLayout w:type="fixed"/>
        <w:tblLook w:val="0400"/>
      </w:tblPr>
      <w:tblGrid>
        <w:gridCol w:w="5351"/>
        <w:gridCol w:w="3471"/>
        <w:tblGridChange w:id="0">
          <w:tblGrid>
            <w:gridCol w:w="5351"/>
            <w:gridCol w:w="3471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Resultado Cuantitativo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Porcentaje de áreas del ayuntamiento evaluadas en el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33.6%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Número de informes recibidos en el mes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 entregó lo correspondiente a los apartados del artículo 8 a la Dirección de Transparencia y Buenas Prácticas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Planeación del Programa Presupuesto Participativo 2024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Capacitación de personal operativo del Programa Presupuesto Participativo 2024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4154805</wp:posOffset>
          </wp:positionH>
          <wp:positionV relativeFrom="topMargin">
            <wp:align>bottom</wp:align>
          </wp:positionV>
          <wp:extent cx="1771650" cy="69596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695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INFORME DE ACTIVIDADES </w:t>
    </w:r>
    <w:r w:rsidDel="00000000" w:rsidR="00000000" w:rsidRPr="00000000">
      <w:rPr>
        <w:rtl w:val="0"/>
      </w:rPr>
      <w:t xml:space="preserve">DICIEMBRE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2023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gZa6CM2Z6aztq7t1DtRfx3gkjA==">CgMxLjA4AHIhMTRoMjNIeHBKYnJYMW42UlJTcGtKcnZBbmdXWjA4M3Jw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