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07" w:rsidRDefault="00704007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</w:p>
    <w:tbl>
      <w:tblPr>
        <w:tblStyle w:val="Tablaconcuadrcula"/>
        <w:tblpPr w:leftFromText="141" w:rightFromText="141" w:vertAnchor="page" w:horzAnchor="margin" w:tblpY="3013"/>
        <w:tblW w:w="9795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592"/>
        <w:gridCol w:w="257"/>
        <w:gridCol w:w="272"/>
        <w:gridCol w:w="268"/>
        <w:gridCol w:w="236"/>
        <w:gridCol w:w="273"/>
        <w:gridCol w:w="278"/>
        <w:gridCol w:w="275"/>
        <w:gridCol w:w="247"/>
        <w:gridCol w:w="257"/>
        <w:gridCol w:w="255"/>
        <w:gridCol w:w="272"/>
        <w:gridCol w:w="276"/>
        <w:gridCol w:w="17"/>
      </w:tblGrid>
      <w:tr w:rsidR="00D97408" w:rsidRPr="00E109F9" w:rsidTr="00387DEE">
        <w:trPr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592" w:type="dxa"/>
            <w:vMerge w:val="restart"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83" w:type="dxa"/>
            <w:gridSpan w:val="13"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D97408" w:rsidRPr="00E109F9" w:rsidTr="00387DEE">
        <w:trPr>
          <w:gridAfter w:val="1"/>
          <w:wAfter w:w="17" w:type="dxa"/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92" w:type="dxa"/>
            <w:vMerge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47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76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D97408" w:rsidRPr="00E109F9" w:rsidTr="00387DEE">
        <w:trPr>
          <w:gridAfter w:val="1"/>
          <w:wAfter w:w="17" w:type="dxa"/>
          <w:trHeight w:val="1574"/>
        </w:trPr>
        <w:tc>
          <w:tcPr>
            <w:tcW w:w="1667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Proponer esquemas de simplificación para los sistemas administrativos.</w:t>
            </w:r>
          </w:p>
        </w:tc>
        <w:tc>
          <w:tcPr>
            <w:tcW w:w="1671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la Administración</w:t>
            </w:r>
            <w:r w:rsidRPr="009F5D4C">
              <w:rPr>
                <w:sz w:val="18"/>
                <w:szCs w:val="18"/>
              </w:rPr>
              <w:t xml:space="preserve"> Municipal.</w:t>
            </w:r>
          </w:p>
        </w:tc>
        <w:tc>
          <w:tcPr>
            <w:tcW w:w="168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Incorporación de sistemas informáticos que agilicen las actividades de la administración pública.</w:t>
            </w:r>
          </w:p>
        </w:tc>
        <w:tc>
          <w:tcPr>
            <w:tcW w:w="159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orcentaje de avance en la autorización de los proyectos. </w:t>
            </w: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</w:tr>
      <w:tr w:rsidR="00D97408" w:rsidRPr="00E109F9" w:rsidTr="00387DEE">
        <w:trPr>
          <w:gridAfter w:val="1"/>
          <w:wAfter w:w="17" w:type="dxa"/>
          <w:trHeight w:val="1956"/>
        </w:trPr>
        <w:tc>
          <w:tcPr>
            <w:tcW w:w="1667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Impulsar la celebración de convenios en coordinación con los distintos órdenes de gobierno.</w:t>
            </w:r>
          </w:p>
        </w:tc>
        <w:tc>
          <w:tcPr>
            <w:tcW w:w="1671" w:type="dxa"/>
            <w:vAlign w:val="center"/>
          </w:tcPr>
          <w:p w:rsidR="00D97408" w:rsidRPr="009F5D4C" w:rsidRDefault="00D97408" w:rsidP="00387DEE">
            <w:pPr>
              <w:spacing w:after="16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Coadyuvar al desarrollo</w:t>
            </w:r>
            <w:r w:rsidRPr="009F5D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organizacional de </w:t>
            </w:r>
            <w:r w:rsidRPr="009F5D4C">
              <w:rPr>
                <w:sz w:val="18"/>
                <w:szCs w:val="18"/>
              </w:rPr>
              <w:t xml:space="preserve"> la administración.</w:t>
            </w:r>
          </w:p>
        </w:tc>
        <w:tc>
          <w:tcPr>
            <w:tcW w:w="168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Implementación de acciones innovadoras que brinden mayores beneficios a la comunidad.</w:t>
            </w:r>
          </w:p>
        </w:tc>
        <w:tc>
          <w:tcPr>
            <w:tcW w:w="159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 xml:space="preserve">Porcentaje de avance </w:t>
            </w:r>
            <w:r>
              <w:rPr>
                <w:sz w:val="18"/>
                <w:szCs w:val="18"/>
              </w:rPr>
              <w:t>en los convenios conseguidos</w:t>
            </w: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</w:tr>
      <w:tr w:rsidR="00D97408" w:rsidRPr="00E109F9" w:rsidTr="00387DEE">
        <w:trPr>
          <w:gridAfter w:val="1"/>
          <w:wAfter w:w="17" w:type="dxa"/>
          <w:trHeight w:val="1752"/>
        </w:trPr>
        <w:tc>
          <w:tcPr>
            <w:tcW w:w="1667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Asesorar y apoyar permanentemente a las dependencias del Ayuntamiento respecto de todo aquel servicio administrativo que se preste en las áreas a su cargo.</w:t>
            </w:r>
          </w:p>
        </w:tc>
        <w:tc>
          <w:tcPr>
            <w:tcW w:w="1671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Colaborar en </w:t>
            </w:r>
            <w:r w:rsidRPr="009F5D4C">
              <w:rPr>
                <w:sz w:val="18"/>
                <w:szCs w:val="18"/>
              </w:rPr>
              <w:t xml:space="preserve"> la simplificación de los trámites administrativos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8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Contar con un sistema de calidad pública</w:t>
            </w:r>
          </w:p>
        </w:tc>
        <w:tc>
          <w:tcPr>
            <w:tcW w:w="159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de avance en los sistemas de simplificación de trámites.</w:t>
            </w: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</w:tr>
    </w:tbl>
    <w:p w:rsidR="00177B37" w:rsidRPr="00D97408" w:rsidRDefault="00D97408" w:rsidP="0004090B">
      <w:pPr>
        <w:rPr>
          <w:b/>
          <w:color w:val="808080" w:themeColor="background1" w:themeShade="80"/>
          <w:sz w:val="24"/>
        </w:rPr>
      </w:pPr>
      <w:r w:rsidRPr="00D97408">
        <w:rPr>
          <w:b/>
          <w:color w:val="808080" w:themeColor="background1" w:themeShade="80"/>
          <w:sz w:val="24"/>
        </w:rPr>
        <w:t>Coordinación: General de Administración e Innovación Gubernamental</w:t>
      </w:r>
    </w:p>
    <w:p w:rsidR="00177B37" w:rsidRDefault="00177B37" w:rsidP="0004090B">
      <w:pPr>
        <w:rPr>
          <w:sz w:val="24"/>
        </w:rPr>
      </w:pPr>
    </w:p>
    <w:p w:rsidR="00E56C38" w:rsidRDefault="00E56C38" w:rsidP="0004090B">
      <w:pPr>
        <w:rPr>
          <w:sz w:val="24"/>
        </w:rPr>
      </w:pPr>
    </w:p>
    <w:p w:rsidR="00E56C38" w:rsidRDefault="00E56C38" w:rsidP="0004090B">
      <w:pPr>
        <w:rPr>
          <w:sz w:val="24"/>
        </w:rPr>
      </w:pPr>
    </w:p>
    <w:p w:rsidR="00E56C38" w:rsidRDefault="00E56C38" w:rsidP="0004090B">
      <w:pPr>
        <w:rPr>
          <w:sz w:val="24"/>
        </w:rPr>
      </w:pPr>
    </w:p>
    <w:p w:rsidR="00E56C38" w:rsidRDefault="00E56C38" w:rsidP="0004090B">
      <w:pPr>
        <w:rPr>
          <w:sz w:val="24"/>
        </w:rPr>
      </w:pPr>
    </w:p>
    <w:p w:rsidR="00E56C38" w:rsidRDefault="00E56C38" w:rsidP="0004090B">
      <w:pPr>
        <w:rPr>
          <w:sz w:val="24"/>
        </w:rPr>
      </w:pPr>
    </w:p>
    <w:p w:rsidR="00E56C38" w:rsidRDefault="00E56C38" w:rsidP="0004090B">
      <w:pPr>
        <w:rPr>
          <w:sz w:val="24"/>
        </w:rPr>
      </w:pPr>
    </w:p>
    <w:p w:rsidR="00E56C38" w:rsidRDefault="00E56C38" w:rsidP="0004090B">
      <w:pPr>
        <w:rPr>
          <w:sz w:val="24"/>
        </w:rPr>
      </w:pPr>
    </w:p>
    <w:p w:rsidR="00E56C38" w:rsidRDefault="00E56C38" w:rsidP="0004090B">
      <w:pPr>
        <w:rPr>
          <w:sz w:val="24"/>
        </w:rPr>
      </w:pPr>
    </w:p>
    <w:p w:rsidR="004F2FF6" w:rsidRDefault="004F2FF6" w:rsidP="004F2FF6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</w:p>
    <w:p w:rsidR="004F2FF6" w:rsidRDefault="004F2FF6" w:rsidP="004F2FF6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COORDINACIÓN: General de Administración e Innovación Gubernamental.</w:t>
      </w:r>
    </w:p>
    <w:p w:rsidR="004F2FF6" w:rsidRDefault="004F2FF6" w:rsidP="004F2FF6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JEFATURA: Mejora Regulatoria.</w:t>
      </w:r>
    </w:p>
    <w:p w:rsidR="00E56C38" w:rsidRDefault="00E56C38" w:rsidP="0004090B">
      <w:pPr>
        <w:rPr>
          <w:sz w:val="24"/>
        </w:rPr>
      </w:pPr>
    </w:p>
    <w:tbl>
      <w:tblPr>
        <w:tblStyle w:val="Tablaconcuadrcula"/>
        <w:tblpPr w:leftFromText="141" w:rightFromText="141" w:vertAnchor="page" w:horzAnchor="margin" w:tblpY="3013"/>
        <w:tblW w:w="9780" w:type="dxa"/>
        <w:tblLayout w:type="fixed"/>
        <w:tblLook w:val="04A0" w:firstRow="1" w:lastRow="0" w:firstColumn="1" w:lastColumn="0" w:noHBand="0" w:noVBand="1"/>
      </w:tblPr>
      <w:tblGrid>
        <w:gridCol w:w="1666"/>
        <w:gridCol w:w="1670"/>
        <w:gridCol w:w="1681"/>
        <w:gridCol w:w="1637"/>
        <w:gridCol w:w="283"/>
        <w:gridCol w:w="246"/>
        <w:gridCol w:w="268"/>
        <w:gridCol w:w="236"/>
        <w:gridCol w:w="273"/>
        <w:gridCol w:w="278"/>
        <w:gridCol w:w="258"/>
        <w:gridCol w:w="264"/>
        <w:gridCol w:w="257"/>
        <w:gridCol w:w="255"/>
        <w:gridCol w:w="272"/>
        <w:gridCol w:w="228"/>
        <w:gridCol w:w="8"/>
      </w:tblGrid>
      <w:tr w:rsidR="004F2FF6" w:rsidTr="004F2FF6">
        <w:trPr>
          <w:gridAfter w:val="1"/>
          <w:wAfter w:w="8" w:type="dxa"/>
          <w:trHeight w:val="26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4F2FF6" w:rsidTr="004F2FF6">
        <w:trPr>
          <w:cantSplit/>
          <w:trHeight w:val="758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Enero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4F2FF6" w:rsidTr="004F2FF6">
        <w:trPr>
          <w:trHeight w:val="9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Definir la estrategia municipal en materia de Mejora Regulatoria.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Establecer una agenda de Mejora Regulatoria.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Coadyuvar para que las acciones que se promuevan contribuyan a la simplificación de trámites.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Aprobación de la agenda de Mejora Regulatoria.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F2FF6" w:rsidRDefault="004F2FF6">
            <w:pPr>
              <w:spacing w:line="240" w:lineRule="auto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490220" cy="173355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85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FF6" w:rsidRDefault="004F2FF6" w:rsidP="004F2FF6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23.25pt;margin-top:19.75pt;width:38.6pt;height:13.6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" filled="f" stroked="f">
                      <v:textbox style="layout-flow:vertical;mso-layout-flow-alt:bottom-to-top;mso-fit-shape-to-text:t">
                        <w:txbxContent>
                          <w:p w:rsidR="004F2FF6" w:rsidRDefault="004F2FF6" w:rsidP="004F2FF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</w:tr>
      <w:tr w:rsidR="004F2FF6" w:rsidTr="004F2FF6">
        <w:trPr>
          <w:trHeight w:val="114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Seguimiento del proyecto de reglamento en materia de Mejora Regulatoria, elaborado por la Jefatura.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Proporcionar certeza jurídica a la Jefatura de Mejora Regulatoria.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Obtener la aprobación del pleno del H. Ayuntamiento de El Salto.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Avance en la gestión de su aprobación.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noProof/>
                <w:lang w:eastAsia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</w:tr>
      <w:tr w:rsidR="004F2FF6" w:rsidTr="004F2FF6">
        <w:trPr>
          <w:trHeight w:val="118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Creación del consejo municipal de Mejora Regulatoria.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Contar con un órgano auxiliar con funciones de consulta y propuesta, cuyo objetivo sea vigilar la estrategia de Mejora Regulatoria.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existencia de proyectos en materia de Mejora Regulatoria.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Avances en la instauración del consejo.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noProof/>
                <w:highlight w:val="lightGray"/>
                <w:lang w:eastAsia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  <w:highlight w:val="lightGray"/>
              </w:rPr>
            </w:pPr>
          </w:p>
        </w:tc>
      </w:tr>
      <w:tr w:rsidR="004F2FF6" w:rsidTr="004F2FF6">
        <w:trPr>
          <w:trHeight w:val="93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Actualizar el catálogo de trámites y servicios.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Generar información de calidad que facilite su consulta en medios físicos y/o electrónicos.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Informar a los ciudadanos los trámites y servicios actualizados que cada dependencia del gobierno ofrece.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Avance en la actualización del catálogo.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F2FF6" w:rsidRDefault="004F2FF6">
            <w:pPr>
              <w:spacing w:line="240" w:lineRule="auto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-283210</wp:posOffset>
                      </wp:positionH>
                      <wp:positionV relativeFrom="paragraph">
                        <wp:posOffset>244475</wp:posOffset>
                      </wp:positionV>
                      <wp:extent cx="400050" cy="180975"/>
                      <wp:effectExtent l="0" t="0" r="0" b="952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FF6" w:rsidRDefault="004F2FF6" w:rsidP="004F2FF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27" type="#_x0000_t202" style="position:absolute;margin-left:-22.3pt;margin-top:19.25pt;width:31.5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" filled="f" stroked="f">
                      <v:textbox style="layout-flow:vertical;mso-layout-flow-alt:bottom-to-top">
                        <w:txbxContent>
                          <w:p w:rsidR="004F2FF6" w:rsidRDefault="004F2FF6" w:rsidP="004F2FF6">
                            <w:pP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</w:tr>
      <w:tr w:rsidR="004F2FF6" w:rsidTr="004F2FF6">
        <w:trPr>
          <w:trHeight w:val="80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Colaborar en el análisis de la aplicación de la plataforma Visor Urbano.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Coadyuvar en la transición hacia un gobierno más abierto, digital e innovador.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6" w:rsidRDefault="004F2FF6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Aplicación del Visor Urbano.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Avance del proyecto.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</w:tr>
      <w:tr w:rsidR="004F2FF6" w:rsidTr="004F2FF6">
        <w:trPr>
          <w:trHeight w:val="10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Renovar la certificación SARE (Sistema De Apertura Rápida De Empresas) emitido por la CONAMER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Simplificar y modernizar los trámites municipales, para el inicio de operaciones de una empresa de bajo riesgo.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Emisión de licencia municipal en tiempo y forma.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obtención y conservación del certificado.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</w:tr>
      <w:tr w:rsidR="004F2FF6" w:rsidTr="004F2FF6">
        <w:trPr>
          <w:trHeight w:val="101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Obtención del certificado VECS (Ventanilla De Construcción Simplificada)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Simplificar y modernizar los trámites municipales de construcción en la modalidad de bajo riesgo.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Emisión de licencia municipal en tiempo y forma.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obtención y conservación del certificado.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</w:tr>
      <w:tr w:rsidR="004F2FF6" w:rsidTr="004F2FF6">
        <w:trPr>
          <w:trHeight w:val="123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Impulsar la aplicación del sistema de monitoreo y </w:t>
            </w:r>
            <w:proofErr w:type="gramStart"/>
            <w:r>
              <w:rPr>
                <w:sz w:val="16"/>
                <w:szCs w:val="16"/>
              </w:rPr>
              <w:t>medición  Radar</w:t>
            </w:r>
            <w:proofErr w:type="gramEnd"/>
            <w:r>
              <w:rPr>
                <w:sz w:val="16"/>
                <w:szCs w:val="16"/>
              </w:rPr>
              <w:t xml:space="preserve"> Regulatorio aplicado por  la Cámara</w:t>
            </w:r>
          </w:p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de Comercio.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Contar con un marco regulatorio eficiente.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Identificar los trámites, su accesibilidad y la  experiencia del usuario, respecto de los trámites brindados.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Avances en el diagnóstico.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</w:tr>
    </w:tbl>
    <w:p w:rsidR="004F2FF6" w:rsidRDefault="004F2FF6" w:rsidP="004F2FF6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lastRenderedPageBreak/>
        <w:t>COORDINACIÓN: General de Administración e Innovación Gubernamental.</w:t>
      </w:r>
    </w:p>
    <w:p w:rsidR="004F2FF6" w:rsidRDefault="004F2FF6" w:rsidP="004F2FF6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DEPENDENCIA: Dirección de Patrimonio Municipal/Bienes Muebles.</w:t>
      </w:r>
    </w:p>
    <w:p w:rsidR="004F2FF6" w:rsidRDefault="004F2FF6" w:rsidP="004F2FF6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4F2FF6" w:rsidRDefault="004F2FF6" w:rsidP="004F2FF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4F2FF6" w:rsidRDefault="004F2FF6" w:rsidP="004F2FF6">
      <w:pPr>
        <w:spacing w:after="0"/>
        <w:rPr>
          <w:rFonts w:cs="Arial"/>
          <w:b/>
          <w:bCs/>
          <w:sz w:val="24"/>
          <w:u w:val="single"/>
        </w:rPr>
      </w:pPr>
    </w:p>
    <w:p w:rsidR="004F2FF6" w:rsidRDefault="004F2FF6" w:rsidP="004F2FF6">
      <w:pPr>
        <w:spacing w:after="0"/>
        <w:rPr>
          <w:rFonts w:cs="Arial"/>
          <w:b/>
          <w:bCs/>
          <w:sz w:val="24"/>
          <w:u w:val="single"/>
        </w:rPr>
      </w:pPr>
    </w:p>
    <w:p w:rsidR="004F2FF6" w:rsidRDefault="004F2FF6" w:rsidP="004F2FF6">
      <w:pPr>
        <w:spacing w:after="0"/>
        <w:rPr>
          <w:rFonts w:cs="Arial"/>
          <w:b/>
          <w:bCs/>
          <w:sz w:val="24"/>
          <w:u w:val="single"/>
        </w:rPr>
      </w:pPr>
    </w:p>
    <w:p w:rsidR="004F2FF6" w:rsidRDefault="004F2FF6" w:rsidP="004F2FF6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3013"/>
        <w:tblW w:w="9795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592"/>
        <w:gridCol w:w="257"/>
        <w:gridCol w:w="272"/>
        <w:gridCol w:w="268"/>
        <w:gridCol w:w="236"/>
        <w:gridCol w:w="273"/>
        <w:gridCol w:w="278"/>
        <w:gridCol w:w="275"/>
        <w:gridCol w:w="247"/>
        <w:gridCol w:w="257"/>
        <w:gridCol w:w="255"/>
        <w:gridCol w:w="272"/>
        <w:gridCol w:w="276"/>
        <w:gridCol w:w="17"/>
      </w:tblGrid>
      <w:tr w:rsidR="004F2FF6" w:rsidTr="004F2FF6">
        <w:trPr>
          <w:trHeight w:val="264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4F2FF6" w:rsidTr="004F2FF6">
        <w:trPr>
          <w:gridAfter w:val="1"/>
          <w:wAfter w:w="17" w:type="dxa"/>
          <w:cantSplit/>
          <w:trHeight w:val="758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Enero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4F2FF6" w:rsidTr="004F2FF6">
        <w:trPr>
          <w:gridAfter w:val="1"/>
          <w:wAfter w:w="17" w:type="dxa"/>
          <w:trHeight w:val="149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los procesos necesarios para mantener actualizado el inventario de bienes de propiedad municipal.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Administrar de la manera adecuada el patrimonio del municipio.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Llevar el control, protección y verificación adecuada de los bienes muebles e inmuebles del municipio.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Porcentaje de avance del inventario de bienes del municipio.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487680" cy="173355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FF6" w:rsidRDefault="004F2FF6" w:rsidP="004F2FF6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28" type="#_x0000_t202" style="position:absolute;margin-left:-23.25pt;margin-top:19.75pt;width:38.4pt;height:13.6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" filled="f" stroked="f">
                      <v:textbox style="layout-flow:vertical;mso-layout-flow-alt:bottom-to-top;mso-fit-shape-to-text:t">
                        <w:txbxContent>
                          <w:p w:rsidR="004F2FF6" w:rsidRDefault="004F2FF6" w:rsidP="004F2FF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color w:val="7F7F7F" w:themeColor="text1" w:themeTint="80"/>
                <w:sz w:val="24"/>
              </w:rPr>
            </w:pPr>
          </w:p>
        </w:tc>
      </w:tr>
      <w:tr w:rsidR="004F2FF6" w:rsidTr="004F2FF6">
        <w:trPr>
          <w:gridAfter w:val="1"/>
          <w:wAfter w:w="17" w:type="dxa"/>
          <w:trHeight w:val="19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Proceder con la identificación de los bienes que reúnan las condiciones para su baja.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Distinguir los bienes funcionales.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Contar con bienes que cumplan con los requisitos para la prestación del servicio público.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Porcentaje de avance de las bajas realizadas de los bienes del municipio.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4F2FF6" w:rsidRDefault="004F2FF6">
            <w:pPr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-283210</wp:posOffset>
                      </wp:positionH>
                      <wp:positionV relativeFrom="paragraph">
                        <wp:posOffset>244475</wp:posOffset>
                      </wp:positionV>
                      <wp:extent cx="400050" cy="180975"/>
                      <wp:effectExtent l="0" t="0" r="0" b="952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FF6" w:rsidRDefault="004F2FF6" w:rsidP="004F2FF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29" type="#_x0000_t202" style="position:absolute;margin-left:-22.3pt;margin-top:19.25pt;width:31.5pt;height:14.2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" filled="f" stroked="f">
                      <v:textbox style="layout-flow:vertical;mso-layout-flow-alt:bottom-to-top">
                        <w:txbxContent>
                          <w:p w:rsidR="004F2FF6" w:rsidRDefault="004F2FF6" w:rsidP="004F2FF6">
                            <w:pP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</w:tr>
      <w:tr w:rsidR="004F2FF6" w:rsidTr="004F2FF6">
        <w:trPr>
          <w:gridAfter w:val="1"/>
          <w:wAfter w:w="17" w:type="dxa"/>
          <w:trHeight w:val="175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Practicar visitas a las dependencias municipales.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Verificar la existencia de los bienes que obran en los inventarios de las dependencias.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 de bienes muebles.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de avance de visitas.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4F2FF6" w:rsidRDefault="004F2FF6">
            <w:pPr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-130810</wp:posOffset>
                      </wp:positionH>
                      <wp:positionV relativeFrom="paragraph">
                        <wp:posOffset>-75565</wp:posOffset>
                      </wp:positionV>
                      <wp:extent cx="400050" cy="180975"/>
                      <wp:effectExtent l="0" t="0" r="0" b="952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FF6" w:rsidRDefault="004F2FF6" w:rsidP="004F2F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" o:spid="_x0000_s1030" type="#_x0000_t202" style="position:absolute;margin-left:-10.3pt;margin-top:-5.95pt;width:31.5pt;height:14.2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" filled="f" stroked="f">
                      <v:textbox style="layout-flow:vertical;mso-layout-flow-alt:bottom-to-top">
                        <w:txbxContent>
                          <w:p w:rsidR="004F2FF6" w:rsidRDefault="004F2FF6" w:rsidP="004F2F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4F2FF6" w:rsidRDefault="004F2FF6">
            <w:pPr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407035</wp:posOffset>
                      </wp:positionV>
                      <wp:extent cx="400050" cy="180975"/>
                      <wp:effectExtent l="0" t="0" r="0" b="952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FF6" w:rsidRDefault="004F2FF6" w:rsidP="004F2F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31" type="#_x0000_t202" style="position:absolute;margin-left:5pt;margin-top:32.05pt;width:31.5pt;height:14.2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" filled="f" stroked="f">
                      <v:textbox style="layout-flow:vertical;mso-layout-flow-alt:bottom-to-top">
                        <w:txbxContent>
                          <w:p w:rsidR="004F2FF6" w:rsidRDefault="004F2FF6" w:rsidP="004F2F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</w:tr>
    </w:tbl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4F2FF6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lastRenderedPageBreak/>
        <w:t>COORDINACIÓN: General de Administración e Innovación Gubernamental.</w:t>
      </w:r>
    </w:p>
    <w:p w:rsidR="004F2FF6" w:rsidRDefault="004F2FF6" w:rsidP="004F2FF6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DEPENDENCIA: Dirección de Adquisiciones.</w:t>
      </w:r>
    </w:p>
    <w:p w:rsidR="004F2FF6" w:rsidRDefault="004F2FF6" w:rsidP="004F2FF6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</w:p>
    <w:p w:rsidR="004F2FF6" w:rsidRDefault="004F2FF6" w:rsidP="004F2FF6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4F2FF6" w:rsidRDefault="004F2FF6" w:rsidP="004F2FF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4F2FF6" w:rsidRDefault="004F2FF6" w:rsidP="004F2FF6">
      <w:pPr>
        <w:spacing w:after="0"/>
        <w:rPr>
          <w:rFonts w:cs="Arial"/>
          <w:b/>
          <w:bCs/>
          <w:sz w:val="24"/>
          <w:u w:val="single"/>
        </w:rPr>
      </w:pPr>
    </w:p>
    <w:p w:rsidR="004F2FF6" w:rsidRDefault="004F2FF6" w:rsidP="004F2FF6">
      <w:pPr>
        <w:spacing w:after="0"/>
        <w:rPr>
          <w:rFonts w:cs="Arial"/>
          <w:b/>
          <w:bCs/>
          <w:sz w:val="24"/>
          <w:u w:val="single"/>
        </w:rPr>
      </w:pPr>
    </w:p>
    <w:p w:rsidR="004F2FF6" w:rsidRDefault="004F2FF6" w:rsidP="004F2FF6">
      <w:pPr>
        <w:spacing w:after="0"/>
        <w:rPr>
          <w:rFonts w:cs="Arial"/>
          <w:b/>
          <w:bCs/>
          <w:sz w:val="24"/>
          <w:u w:val="single"/>
        </w:rPr>
      </w:pPr>
    </w:p>
    <w:p w:rsidR="004F2FF6" w:rsidRDefault="004F2FF6" w:rsidP="004F2FF6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3013"/>
        <w:tblW w:w="9795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592"/>
        <w:gridCol w:w="257"/>
        <w:gridCol w:w="272"/>
        <w:gridCol w:w="268"/>
        <w:gridCol w:w="236"/>
        <w:gridCol w:w="273"/>
        <w:gridCol w:w="278"/>
        <w:gridCol w:w="275"/>
        <w:gridCol w:w="247"/>
        <w:gridCol w:w="257"/>
        <w:gridCol w:w="255"/>
        <w:gridCol w:w="272"/>
        <w:gridCol w:w="276"/>
        <w:gridCol w:w="17"/>
      </w:tblGrid>
      <w:tr w:rsidR="004F2FF6" w:rsidTr="004F2FF6">
        <w:trPr>
          <w:trHeight w:val="264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4F2FF6" w:rsidTr="004F2FF6">
        <w:trPr>
          <w:gridAfter w:val="1"/>
          <w:wAfter w:w="17" w:type="dxa"/>
          <w:cantSplit/>
          <w:trHeight w:val="758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Enero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4F2FF6" w:rsidTr="004F2FF6">
        <w:trPr>
          <w:gridAfter w:val="1"/>
          <w:wAfter w:w="17" w:type="dxa"/>
          <w:trHeight w:val="149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Fijar las bases generales a las que deben sujetarse las distintas dependencias de la administración pública para la solicitud de sus insumos, servicios, equipo de cómputo y/o especializado.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estrategias que permitan agilizar la recepción y entrega de materiales.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estima que a partir del mes de febrero se inicie con la  entrega de los insumos en tiempo y forma.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de entregas realizadas derivado de sus solicitudes.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2FF6" w:rsidRDefault="004F2FF6">
            <w:pPr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487680" cy="173355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FF6" w:rsidRDefault="004F2FF6" w:rsidP="004F2FF6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32" type="#_x0000_t202" style="position:absolute;margin-left:-23.25pt;margin-top:19.75pt;width:38.4pt;height:13.6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4F2FF6" w:rsidRDefault="004F2FF6" w:rsidP="004F2FF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</w:tr>
      <w:tr w:rsidR="004F2FF6" w:rsidTr="004F2FF6">
        <w:trPr>
          <w:gridAfter w:val="1"/>
          <w:wAfter w:w="17" w:type="dxa"/>
          <w:trHeight w:val="18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Mantener actualizado el registro de proveedores.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Integrar debidamente el expediente correspondiente por proveedor para su resguardo y consulta.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Consultar en tiempo real la información, derivada de la proveeduría.</w:t>
            </w:r>
          </w:p>
          <w:p w:rsidR="004F2FF6" w:rsidRDefault="004F2FF6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registros en el padrón de proveedores.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2FF6" w:rsidRDefault="004F2FF6">
            <w:pPr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-283210</wp:posOffset>
                      </wp:positionH>
                      <wp:positionV relativeFrom="paragraph">
                        <wp:posOffset>244475</wp:posOffset>
                      </wp:positionV>
                      <wp:extent cx="400050" cy="180975"/>
                      <wp:effectExtent l="0" t="0" r="0" b="952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FF6" w:rsidRDefault="004F2FF6" w:rsidP="004F2FF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3" type="#_x0000_t202" style="position:absolute;margin-left:-22.3pt;margin-top:19.25pt;width:31.5pt;height:14.2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" filled="f" stroked="f">
                      <v:textbox style="layout-flow:vertical;mso-layout-flow-alt:bottom-to-top">
                        <w:txbxContent>
                          <w:p w:rsidR="004F2FF6" w:rsidRDefault="004F2FF6" w:rsidP="004F2FF6">
                            <w:pP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</w:tr>
      <w:tr w:rsidR="004F2FF6" w:rsidTr="004F2FF6">
        <w:trPr>
          <w:gridAfter w:val="1"/>
          <w:wAfter w:w="17" w:type="dxa"/>
          <w:trHeight w:val="175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los mecanismos que permitan conocer las necesidades de manera individual de las distintas dependencias de la administración municipal.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Establecer un tabulador de las compras realizadas por dependencia.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Proveer de manera equitativa los insumos solicitados de acuerdo a sus funciones.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de dependencias con materiales entregados.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2FF6" w:rsidRDefault="004F2FF6">
            <w:pPr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-5533390</wp:posOffset>
                      </wp:positionH>
                      <wp:positionV relativeFrom="paragraph">
                        <wp:posOffset>-5666740</wp:posOffset>
                      </wp:positionV>
                      <wp:extent cx="400050" cy="180975"/>
                      <wp:effectExtent l="0" t="0" r="0" b="952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FF6" w:rsidRDefault="004F2FF6" w:rsidP="004F2F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4" type="#_x0000_t202" style="position:absolute;margin-left:-435.7pt;margin-top:-446.2pt;width:31.5pt;height:14.25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" filled="f" stroked="f">
                      <v:textbox style="layout-flow:vertical;mso-layout-flow-alt:bottom-to-top">
                        <w:txbxContent>
                          <w:p w:rsidR="004F2FF6" w:rsidRDefault="004F2FF6" w:rsidP="004F2F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rPr>
                <w:sz w:val="24"/>
              </w:rPr>
            </w:pPr>
          </w:p>
        </w:tc>
      </w:tr>
    </w:tbl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4F2FF6">
      <w:pPr>
        <w:spacing w:after="0" w:line="240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lastRenderedPageBreak/>
        <w:t xml:space="preserve">COORDINACIÓN: General de Administración e Innovación Gubernamental </w:t>
      </w:r>
    </w:p>
    <w:p w:rsidR="004F2FF6" w:rsidRDefault="004F2FF6" w:rsidP="004F2FF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color w:val="595959"/>
          <w:sz w:val="24"/>
          <w:szCs w:val="24"/>
        </w:rPr>
        <w:t xml:space="preserve">DEPENDENCIA: Dirección de Administración Gubernamental </w:t>
      </w:r>
    </w:p>
    <w:p w:rsidR="004F2FF6" w:rsidRDefault="004F2FF6" w:rsidP="004F2FF6">
      <w:pPr>
        <w:spacing w:after="0"/>
        <w:rPr>
          <w:b/>
          <w:sz w:val="24"/>
          <w:szCs w:val="24"/>
          <w:u w:val="single"/>
        </w:rPr>
      </w:pPr>
    </w:p>
    <w:p w:rsidR="004F2FF6" w:rsidRDefault="004F2FF6" w:rsidP="004F2FF6">
      <w:pPr>
        <w:spacing w:after="0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 xml:space="preserve"> </w:t>
      </w:r>
    </w:p>
    <w:tbl>
      <w:tblPr>
        <w:tblW w:w="987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665"/>
        <w:gridCol w:w="1680"/>
        <w:gridCol w:w="1590"/>
        <w:gridCol w:w="255"/>
        <w:gridCol w:w="270"/>
        <w:gridCol w:w="270"/>
        <w:gridCol w:w="255"/>
        <w:gridCol w:w="270"/>
        <w:gridCol w:w="285"/>
        <w:gridCol w:w="270"/>
        <w:gridCol w:w="255"/>
        <w:gridCol w:w="255"/>
        <w:gridCol w:w="255"/>
        <w:gridCol w:w="270"/>
        <w:gridCol w:w="270"/>
        <w:gridCol w:w="105"/>
      </w:tblGrid>
      <w:tr w:rsidR="004F2FF6" w:rsidTr="004F2FF6">
        <w:trPr>
          <w:trHeight w:val="416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4F2FF6" w:rsidRDefault="004F2FF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ACCIONES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4F2FF6" w:rsidRDefault="004F2FF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4F2FF6" w:rsidRDefault="004F2FF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METAS ESTIMADAS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4F2FF6" w:rsidRDefault="004F2FF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INDICADOR</w:t>
            </w:r>
          </w:p>
        </w:tc>
        <w:tc>
          <w:tcPr>
            <w:tcW w:w="32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4F2FF6" w:rsidRDefault="004F2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PROGRAMACIÓN ANUAL</w:t>
            </w:r>
          </w:p>
        </w:tc>
      </w:tr>
      <w:tr w:rsidR="004F2FF6" w:rsidTr="004F2FF6">
        <w:trPr>
          <w:gridAfter w:val="1"/>
          <w:wAfter w:w="105" w:type="dxa"/>
          <w:cantSplit/>
          <w:trHeight w:val="781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spacing w:after="0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spacing w:after="0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spacing w:after="0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spacing w:after="0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2FF6" w:rsidRDefault="004F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</w:tr>
      <w:tr w:rsidR="004F2FF6" w:rsidTr="004F2FF6">
        <w:trPr>
          <w:gridAfter w:val="1"/>
          <w:wAfter w:w="105" w:type="dxa"/>
          <w:trHeight w:val="113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Asignación de espacios a las distintas áreas de atención según los servicios brindados.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Proporcionar espacios a las dependencias faltantes, tomando en cuenta sus necesidades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Todos los espacios disponibles se encuentren asignados.</w:t>
            </w:r>
          </w:p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 de avance trimestral de espacios asignado a las diferentes dependencias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</w:tr>
      <w:tr w:rsidR="004F2FF6" w:rsidTr="004F2FF6">
        <w:trPr>
          <w:gridAfter w:val="1"/>
          <w:wAfter w:w="105" w:type="dxa"/>
          <w:trHeight w:val="118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Administrar al máximo los recursos materiales para el servicio de la limpieza interna de las áreas </w:t>
            </w:r>
          </w:p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 de limpieza con material suficiente para desarrollar sus funciones.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Áreas de trabajo atendidas con material de limpieza necesario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 de avance de la administración de los recursos materiales.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</w:tr>
      <w:tr w:rsidR="004F2FF6" w:rsidTr="004F2FF6">
        <w:trPr>
          <w:gridAfter w:val="1"/>
          <w:wAfter w:w="105" w:type="dxa"/>
          <w:trHeight w:val="195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Coordinar el recurso humano necesario para la prestación del servicio de limpieza interna de cada una de las áreas.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Conformar un equipo completo responsable y eficiente que atienda las necesidades de cada área.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Completar y administrar la plantilla del personal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Porcentaje de los servicios de limpieza realizados.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</w:tr>
      <w:tr w:rsidR="004F2FF6" w:rsidTr="004F2FF6">
        <w:trPr>
          <w:gridAfter w:val="1"/>
          <w:wAfter w:w="105" w:type="dxa"/>
          <w:trHeight w:val="195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Atender las solicitudes de apoyo para cobertura de eventos especiales.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Cubrir oportunamente los apoyos solicitados.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Ejecutar las intervenciones solicitadas.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 de solicitudes de apoyo atendidas.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</w:tr>
      <w:tr w:rsidR="004F2FF6" w:rsidTr="004F2FF6">
        <w:trPr>
          <w:gridAfter w:val="1"/>
          <w:wAfter w:w="105" w:type="dxa"/>
          <w:trHeight w:val="195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Gestionar la constante capacitación para el personal de mantenimiento interno.</w:t>
            </w:r>
          </w:p>
          <w:p w:rsidR="004F2FF6" w:rsidRDefault="004F2FF6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Contar con personal capacitado.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plantilla de personal de mantenimiento interno esté capacitado.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FF6" w:rsidRDefault="004F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 de avance por capacitación.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2FF6" w:rsidRDefault="004F2FF6">
            <w:pPr>
              <w:rPr>
                <w:sz w:val="24"/>
                <w:szCs w:val="24"/>
              </w:rPr>
            </w:pPr>
          </w:p>
        </w:tc>
      </w:tr>
    </w:tbl>
    <w:p w:rsidR="004F2FF6" w:rsidRDefault="004F2FF6" w:rsidP="004F2FF6">
      <w:pPr>
        <w:rPr>
          <w:rFonts w:ascii="Calibri" w:hAnsi="Calibri" w:cs="Calibri"/>
          <w:sz w:val="24"/>
          <w:szCs w:val="24"/>
        </w:rPr>
      </w:pPr>
      <w:bookmarkStart w:id="0" w:name="_heading=h.gjdgxs"/>
      <w:bookmarkEnd w:id="0"/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4F2FF6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lastRenderedPageBreak/>
        <w:t>COORDINACIÓN: General de Administración e Innovación Gubernamental.</w:t>
      </w:r>
    </w:p>
    <w:p w:rsidR="004F2FF6" w:rsidRDefault="004F2FF6" w:rsidP="004F2FF6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DEPENDENCIA: Dirección de Tecnologías de Innovación y Comunicación.</w:t>
      </w:r>
    </w:p>
    <w:p w:rsidR="004F2FF6" w:rsidRDefault="004F2FF6" w:rsidP="0004090B">
      <w:pPr>
        <w:rPr>
          <w:sz w:val="24"/>
        </w:rPr>
      </w:pPr>
    </w:p>
    <w:tbl>
      <w:tblPr>
        <w:tblStyle w:val="Tablaconcuadrcula"/>
        <w:tblpPr w:leftFromText="141" w:rightFromText="141" w:vertAnchor="page" w:horzAnchor="margin" w:tblpY="3013"/>
        <w:tblW w:w="9780" w:type="dxa"/>
        <w:tblLayout w:type="fixed"/>
        <w:tblLook w:val="04A0" w:firstRow="1" w:lastRow="0" w:firstColumn="1" w:lastColumn="0" w:noHBand="0" w:noVBand="1"/>
      </w:tblPr>
      <w:tblGrid>
        <w:gridCol w:w="1666"/>
        <w:gridCol w:w="1670"/>
        <w:gridCol w:w="1681"/>
        <w:gridCol w:w="1637"/>
        <w:gridCol w:w="283"/>
        <w:gridCol w:w="246"/>
        <w:gridCol w:w="268"/>
        <w:gridCol w:w="236"/>
        <w:gridCol w:w="273"/>
        <w:gridCol w:w="278"/>
        <w:gridCol w:w="258"/>
        <w:gridCol w:w="264"/>
        <w:gridCol w:w="257"/>
        <w:gridCol w:w="255"/>
        <w:gridCol w:w="272"/>
        <w:gridCol w:w="228"/>
        <w:gridCol w:w="8"/>
      </w:tblGrid>
      <w:tr w:rsidR="004F2FF6" w:rsidTr="004F2FF6">
        <w:trPr>
          <w:gridAfter w:val="1"/>
          <w:wAfter w:w="8" w:type="dxa"/>
          <w:trHeight w:val="264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4F2FF6" w:rsidTr="004F2FF6">
        <w:trPr>
          <w:cantSplit/>
          <w:trHeight w:val="758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Enero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4F2FF6" w:rsidTr="004F2FF6">
        <w:trPr>
          <w:trHeight w:val="116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F2FF6" w:rsidRDefault="004F2F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Supervisar el buen funcionamiento de los proyectos y servicios de las jefaturas de Desarrollo de Sistemas y telecomunicaciones (Mantenimiento y Soporte)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Contar con una estrategia definida de las acciones que resuelven de manera eficiente los problemas tecnológicos de las distintas dependencias.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Brindar de manera ininterrumpida los servicios realizados por ambas jefaturas.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6" w:rsidRDefault="004F2F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de servicios realizados.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2FF6" w:rsidRDefault="004F2FF6">
            <w:pPr>
              <w:spacing w:line="240" w:lineRule="auto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490220" cy="173355"/>
                      <wp:effectExtent l="0" t="0" r="0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85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2FF6" w:rsidRDefault="004F2FF6" w:rsidP="004F2FF6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35" type="#_x0000_t202" style="position:absolute;margin-left:-23.25pt;margin-top:19.75pt;width:38.6pt;height:13.65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" filled="f" stroked="f">
                      <v:textbox style="layout-flow:vertical;mso-layout-flow-alt:bottom-to-top;mso-fit-shape-to-text:t">
                        <w:txbxContent>
                          <w:p w:rsidR="004F2FF6" w:rsidRDefault="004F2FF6" w:rsidP="004F2FF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2FF6" w:rsidRDefault="004F2FF6">
            <w:pPr>
              <w:spacing w:line="240" w:lineRule="auto"/>
              <w:rPr>
                <w:sz w:val="24"/>
              </w:rPr>
            </w:pPr>
          </w:p>
        </w:tc>
      </w:tr>
    </w:tbl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Default="004F2FF6" w:rsidP="0004090B">
      <w:pPr>
        <w:rPr>
          <w:sz w:val="24"/>
        </w:rPr>
      </w:pPr>
    </w:p>
    <w:p w:rsidR="004F2FF6" w:rsidRPr="0004090B" w:rsidRDefault="004F2FF6" w:rsidP="0004090B">
      <w:pPr>
        <w:rPr>
          <w:sz w:val="24"/>
        </w:rPr>
      </w:pPr>
      <w:bookmarkStart w:id="1" w:name="_GoBack"/>
      <w:bookmarkEnd w:id="1"/>
    </w:p>
    <w:sectPr w:rsidR="004F2FF6" w:rsidRPr="0004090B" w:rsidSect="009A0FCD">
      <w:headerReference w:type="default" r:id="rId7"/>
      <w:foot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7E" w:rsidRDefault="0026547E" w:rsidP="004D7C4F">
      <w:pPr>
        <w:spacing w:after="0" w:line="240" w:lineRule="auto"/>
      </w:pPr>
      <w:r>
        <w:separator/>
      </w:r>
    </w:p>
  </w:endnote>
  <w:endnote w:type="continuationSeparator" w:id="0">
    <w:p w:rsidR="0026547E" w:rsidRDefault="0026547E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7E" w:rsidRDefault="0026547E" w:rsidP="004D7C4F">
      <w:pPr>
        <w:spacing w:after="0" w:line="240" w:lineRule="auto"/>
      </w:pPr>
      <w:r>
        <w:separator/>
      </w:r>
    </w:p>
  </w:footnote>
  <w:footnote w:type="continuationSeparator" w:id="0">
    <w:p w:rsidR="0026547E" w:rsidRDefault="0026547E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9A0FCD" w:rsidRDefault="009A0F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07AAF"/>
    <w:rsid w:val="0002381C"/>
    <w:rsid w:val="000323A4"/>
    <w:rsid w:val="0004090B"/>
    <w:rsid w:val="000418B8"/>
    <w:rsid w:val="00062920"/>
    <w:rsid w:val="00064E99"/>
    <w:rsid w:val="00093432"/>
    <w:rsid w:val="000C2B09"/>
    <w:rsid w:val="000E04B5"/>
    <w:rsid w:val="00111AFC"/>
    <w:rsid w:val="00115280"/>
    <w:rsid w:val="00132DD7"/>
    <w:rsid w:val="00177B37"/>
    <w:rsid w:val="00177E08"/>
    <w:rsid w:val="001878F5"/>
    <w:rsid w:val="001E6841"/>
    <w:rsid w:val="001F146A"/>
    <w:rsid w:val="0020331E"/>
    <w:rsid w:val="00243423"/>
    <w:rsid w:val="00246179"/>
    <w:rsid w:val="0026547E"/>
    <w:rsid w:val="002A427A"/>
    <w:rsid w:val="002A62D6"/>
    <w:rsid w:val="002A661D"/>
    <w:rsid w:val="002F03E7"/>
    <w:rsid w:val="0030038C"/>
    <w:rsid w:val="004307C0"/>
    <w:rsid w:val="00451732"/>
    <w:rsid w:val="00471655"/>
    <w:rsid w:val="00472667"/>
    <w:rsid w:val="004D7C4F"/>
    <w:rsid w:val="004F2FF6"/>
    <w:rsid w:val="00527588"/>
    <w:rsid w:val="005A0B33"/>
    <w:rsid w:val="005F7B10"/>
    <w:rsid w:val="006159C8"/>
    <w:rsid w:val="006307B3"/>
    <w:rsid w:val="006D6CC9"/>
    <w:rsid w:val="00704007"/>
    <w:rsid w:val="00725667"/>
    <w:rsid w:val="007323C5"/>
    <w:rsid w:val="00735985"/>
    <w:rsid w:val="00753464"/>
    <w:rsid w:val="00760652"/>
    <w:rsid w:val="00761ECF"/>
    <w:rsid w:val="00791865"/>
    <w:rsid w:val="007B7CCF"/>
    <w:rsid w:val="00811123"/>
    <w:rsid w:val="00835866"/>
    <w:rsid w:val="008823C9"/>
    <w:rsid w:val="00891C9B"/>
    <w:rsid w:val="008953F7"/>
    <w:rsid w:val="00905F92"/>
    <w:rsid w:val="00921028"/>
    <w:rsid w:val="00942962"/>
    <w:rsid w:val="009A0FCD"/>
    <w:rsid w:val="009C1FF6"/>
    <w:rsid w:val="009F5D4C"/>
    <w:rsid w:val="009F63F3"/>
    <w:rsid w:val="00A34B5F"/>
    <w:rsid w:val="00A55B3A"/>
    <w:rsid w:val="00A63DCF"/>
    <w:rsid w:val="00A87BD7"/>
    <w:rsid w:val="00AE4B2E"/>
    <w:rsid w:val="00B113A7"/>
    <w:rsid w:val="00B35E4E"/>
    <w:rsid w:val="00BF35F2"/>
    <w:rsid w:val="00C3622A"/>
    <w:rsid w:val="00C41049"/>
    <w:rsid w:val="00C72B61"/>
    <w:rsid w:val="00CB5E61"/>
    <w:rsid w:val="00CE45D3"/>
    <w:rsid w:val="00D057B1"/>
    <w:rsid w:val="00D12726"/>
    <w:rsid w:val="00D145D6"/>
    <w:rsid w:val="00D172C6"/>
    <w:rsid w:val="00D774FE"/>
    <w:rsid w:val="00D97408"/>
    <w:rsid w:val="00E109F9"/>
    <w:rsid w:val="00E364B9"/>
    <w:rsid w:val="00E47318"/>
    <w:rsid w:val="00E56C38"/>
    <w:rsid w:val="00EA765A"/>
    <w:rsid w:val="00EC2346"/>
    <w:rsid w:val="00EC2CA8"/>
    <w:rsid w:val="00F15FCD"/>
    <w:rsid w:val="00F536B7"/>
    <w:rsid w:val="00F63380"/>
    <w:rsid w:val="00F801F9"/>
    <w:rsid w:val="00FA134E"/>
    <w:rsid w:val="00FC6FB9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11245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</Pages>
  <Words>1339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Transparencia</cp:lastModifiedBy>
  <cp:revision>42</cp:revision>
  <cp:lastPrinted>2022-02-04T19:05:00Z</cp:lastPrinted>
  <dcterms:created xsi:type="dcterms:W3CDTF">2022-01-28T15:43:00Z</dcterms:created>
  <dcterms:modified xsi:type="dcterms:W3CDTF">2023-07-21T15:35:00Z</dcterms:modified>
</cp:coreProperties>
</file>