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19"/>
          <w:tab w:val="left" w:leader="none" w:pos="8073"/>
        </w:tabs>
        <w:spacing w:after="0" w:lineRule="auto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5223753</wp:posOffset>
            </wp:positionH>
            <wp:positionV relativeFrom="paragraph">
              <wp:posOffset>216926</wp:posOffset>
            </wp:positionV>
            <wp:extent cx="1634247" cy="700391"/>
            <wp:effectExtent b="38100" l="38100" r="38100" t="3810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700391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4419"/>
          <w:tab w:val="left" w:leader="none" w:pos="8073"/>
        </w:tabs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ENERO 2023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794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7">
      <w:pPr>
        <w:spacing w:after="0" w:lineRule="auto"/>
        <w:ind w:left="794" w:firstLine="0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EL MUELLE</w:t>
      </w:r>
    </w:p>
    <w:p w:rsidR="00000000" w:rsidDel="00000000" w:rsidP="00000000" w:rsidRDefault="00000000" w:rsidRPr="00000000" w14:paraId="00000008">
      <w:pPr>
        <w:spacing w:after="0" w:lineRule="auto"/>
        <w:ind w:left="794" w:firstLine="0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TERESA CHAVARRIA AYALA   </w:t>
      </w:r>
    </w:p>
    <w:tbl>
      <w:tblPr>
        <w:tblStyle w:val="Table1"/>
        <w:tblW w:w="9493.0" w:type="dxa"/>
        <w:jc w:val="left"/>
        <w:tblInd w:w="6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843"/>
        <w:gridCol w:w="1843"/>
        <w:gridCol w:w="3402"/>
        <w:tblGridChange w:id="0">
          <w:tblGrid>
            <w:gridCol w:w="2405"/>
            <w:gridCol w:w="1843"/>
            <w:gridCol w:w="1843"/>
            <w:gridCol w:w="3402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del coordinador de agua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apoyando con una sola pipa en todo el muelle don José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 fosa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drenaje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personal y sin respuesta alguna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tengo buena respuesta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Atendiendo los reportes pero no llevan las secuencias de los días correspondientes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de salud animal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dBXF8xYfiQ5E2MsOy8FZSYk5wQ==">AMUW2mUBqbCMuJex9IiwwX0FOY7+9A2CDXFKS9GW8H/0lpGkuUQstBI9T/KnyblZRg/MG8dB3lUL/vXv5Qh99oNR64gaF6I7WBt2YXV9DmEylb15UsC8pGlhR9pvn1DfOtnpeqPPfvUl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