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INFORME MENSUAL DE ACTIVIDADES DEL MES DE ENERO DE 2023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DIRECCIÓN DE COMUNICACIÓN SOCIAL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5700"/>
        </w:tabs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5700"/>
        </w:tabs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Dirección de Comunicación Social tiene como objetivo diseñar, producir, difundir  e implementar campañas estratégicas para comunicar las acciones de gobierno. </w:t>
      </w:r>
    </w:p>
    <w:p w:rsidR="00000000" w:rsidDel="00000000" w:rsidP="00000000" w:rsidRDefault="00000000" w:rsidRPr="00000000" w14:paraId="00000007">
      <w:pPr>
        <w:tabs>
          <w:tab w:val="left" w:leader="none" w:pos="5700"/>
        </w:tabs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5700"/>
        </w:tabs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Durante el mes de enero de 2023 se llevaron a cabo las siguientes actividades: 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34"/>
        <w:gridCol w:w="2423"/>
        <w:gridCol w:w="4536"/>
        <w:tblGridChange w:id="0">
          <w:tblGrid>
            <w:gridCol w:w="2534"/>
            <w:gridCol w:w="2423"/>
            <w:gridCol w:w="4536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shd w:fill="dbdbdb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ACTIVIDADES</w:t>
            </w:r>
          </w:p>
        </w:tc>
        <w:tc>
          <w:tcPr>
            <w:shd w:fill="dbdbdb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OBJETIVO</w:t>
            </w:r>
          </w:p>
        </w:tc>
        <w:tc>
          <w:tcPr>
            <w:shd w:fill="dbdbdb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Cobertura de la agenda mensual del presidente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Comunicar la agenda pública del presidente.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Campaña Ciudad de Oportunidad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Dar a conocer y posicionar el nuevo concepto de gobierno “Ciudad de Oportunidades”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</w:tr>
      <w:tr>
        <w:trPr>
          <w:cantSplit w:val="0"/>
          <w:trHeight w:val="1026.914062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Campaña Predial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Difusión y campaña para invitar a los ciudadanos a pagar el predial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Campaña Presupuesto Participativo 2023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Campaña y difusión de llamado a participar en el P. Participativo 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100%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Cobertura y campaña de la Unidad Médica de Las Pintas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Campaña y cobertura de la inauguración de la Unidad Médica de Las Pintas.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100%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b w:val="1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95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0"/>
        <w:gridCol w:w="2430"/>
        <w:gridCol w:w="4524.999999999999"/>
        <w:tblGridChange w:id="0">
          <w:tblGrid>
            <w:gridCol w:w="2550"/>
            <w:gridCol w:w="2430"/>
            <w:gridCol w:w="4524.99999999999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Contenidos, posteo, seguimiento y monitoreo de las redes digitales del presidente y del gobierno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Generar y producir contenido informativo y de interés para redes digitales.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Atención y seguimiento a medios de comunicación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Atender los temas de interés de los medios de comunicación.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Atender peticiones de diseño, contenido y publicaciones de las diferentes áreas del gobierno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Atender a las áreas de gobierno para difundir sus actividades.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DIRECCIÓN DE COMUNICACIÓN SOCIAL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22372" cy="642100"/>
          <wp:effectExtent b="0" l="0" r="0" t="0"/>
          <wp:docPr descr="Resultado de imagen para Gobierno municipal de El Salto" id="2" name="image2.png"/>
          <a:graphic>
            <a:graphicData uri="http://schemas.openxmlformats.org/drawingml/2006/picture">
              <pic:pic>
                <pic:nvPicPr>
                  <pic:cNvPr descr="Resultado de imagen para Gobierno municipal de El Salto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2372" cy="642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314325" cy="314325"/>
              <wp:effectExtent b="0" l="0" r="0" t="0"/>
              <wp:docPr descr="blob:https://web.whatsapp.com/8d472159-402d-4baf-aff5-de5c9e491a5c"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93600" y="362760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314325" cy="314325"/>
              <wp:effectExtent b="0" l="0" r="0" t="0"/>
              <wp:docPr descr="blob:https://web.whatsapp.com/8d472159-402d-4baf-aff5-de5c9e491a5c" id="1" name="image3.png"/>
              <a:graphic>
                <a:graphicData uri="http://schemas.openxmlformats.org/drawingml/2006/picture">
                  <pic:pic>
                    <pic:nvPicPr>
                      <pic:cNvPr descr="blob:https://web.whatsapp.com/8d472159-402d-4baf-aff5-de5c9e491a5c"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4325" cy="3143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65930" cy="606999"/>
          <wp:effectExtent b="0" l="0" r="0" t="0"/>
          <wp:docPr descr="C:\Users\Usuario\Downloads\WhatsApp Image 2022-11-01 at 1.54.07 PM.jpeg" id="3" name="image1.jpg"/>
          <a:graphic>
            <a:graphicData uri="http://schemas.openxmlformats.org/drawingml/2006/picture">
              <pic:pic>
                <pic:nvPicPr>
                  <pic:cNvPr descr="C:\Users\Usuario\Downloads\WhatsApp Image 2022-11-01 at 1.54.07 PM.jpeg"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5930" cy="6069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