
<file path=[Content_Types].xml><?xml version="1.0" encoding="utf-8"?>
<Types xmlns="http://schemas.openxmlformats.org/package/2006/content-types">
  <Default ContentType="image/jpeg" Extension="jpg"/>
  <Default ContentType="application/vnd.openxmlformats-officedocument.spreadsheetml.sheet" Extension="xlsx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ms-office.chartcolorstyle+xml" PartName="/word/charts/colors3.xml"/>
  <Override ContentType="application/vnd.ms-office.chartcolorstyle+xml" PartName="/word/charts/colors2.xml"/>
  <Override ContentType="application/vnd.ms-office.chartcolorstyle+xml" PartName="/word/charts/colors1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ms-office.chartstyle+xml" PartName="/word/charts/style3.xml"/>
  <Override ContentType="application/vnd.ms-office.chartstyle+xml" PartName="/word/charts/style2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DIRECCIÓN DE TRANSPARENCIA Y LAS BUENAS PRÁCTICAS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Para este gobierno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garantizar el derecho de acceso a la información pública municipal; garantizar la protección de los datos personales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es una tarea prioritaria, así como el impulsar la capacitación entre los distintos sujetos obligados de este ayuntamiento.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Dirección de Transparencia y las Buenas Prácticas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Atención y orientación a la ciudadanía en temas de transparencia.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Recibir, admitir, gestionar y resolver las solicitudes de acceso a la información. pública que sean de su competencia.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Dichas solicitudes fueron debidamente revisadas para asegurarse que cumplieran con todos los requisitos mínimos que señala la Ley o en su caso se previniera al solicitante, así como determinar sobre la competencia.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Recibir, admitir y resolver las solicitudes de derecho ARCO y remitir la resolución correspondiente al Instituto de Transparencia e Información Pública de Jalisco.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Atención y seguimiento a los recursos de revisión, transparencia y datos personales.</w:t>
      </w:r>
      <w:r w:rsidDel="00000000" w:rsidR="00000000" w:rsidRPr="00000000">
        <w:rPr>
          <w:rtl w:val="0"/>
        </w:rPr>
      </w:r>
    </w:p>
    <w:tbl>
      <w:tblPr>
        <w:tblStyle w:val="Table1"/>
        <w:tblW w:w="8756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2"/>
        <w:gridCol w:w="2094"/>
        <w:tblGridChange w:id="0">
          <w:tblGrid>
            <w:gridCol w:w="6662"/>
            <w:gridCol w:w="2094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 anual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Atender y orientación a la ciudadanía en temas de Transparencia.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945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Recibir, admitir, gestionar y resolver las solicitudes de acceso a la información pública que sean de su competencia; 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1034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Recibir, admitir y resolver las solicitudes de Derecho ARCO y remitir la resolución correspondiente al Instituto de Transparencia e Información Pública de Jalisco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561975</wp:posOffset>
            </wp:positionH>
            <wp:positionV relativeFrom="paragraph">
              <wp:posOffset>91883</wp:posOffset>
            </wp:positionV>
            <wp:extent cx="4457700" cy="2038350"/>
            <wp:wrapNone/>
            <wp:docPr id="16" name=""/>
            <a:graphic>
              <a:graphicData uri="http://schemas.openxmlformats.org/drawingml/2006/chart">
                <c:chart r:id="rId7"/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Jefatura de Acceso a la Información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Gestionar y dar seguimiento de las solicitudes de acceso a la información con las Unidades Administrativas Internas.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Asesorías y acompañamiento a servidores públicos.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5486400" cy="1894115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894115"/>
                          <a:chOff x="0" y="0"/>
                          <a:chExt cx="5486400" cy="18941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86400" cy="1894100"/>
                            <a:chOff x="0" y="0"/>
                            <a:chExt cx="5486400" cy="1894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189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9009" y="555512"/>
                              <a:ext cx="2628478" cy="309232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cap="flat" cmpd="sng" w="12700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9009" y="671647"/>
                              <a:ext cx="193097" cy="1930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9009" y="0"/>
                              <a:ext cx="2628478" cy="555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49009" y="0"/>
                              <a:ext cx="2628478" cy="555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Seguimiento a solicitudes de acceso a la información </w:t>
                                </w:r>
                              </w:p>
                            </w:txbxContent>
                          </wps:txbx>
                          <wps:bodyPr anchorCtr="0" anchor="ctr" bIns="22850" lIns="34275" spcFirstLastPara="1" rIns="34275" wrap="square" tIns="2285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9009" y="1121751"/>
                              <a:ext cx="193092" cy="1930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33002" y="9932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233002" y="9932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Se giró un total de 800 oficios a las Dependencias </w:t>
                                </w:r>
                              </w:p>
                            </w:txbxContent>
                          </wps:txbx>
                          <wps:bodyPr anchorCtr="0" anchor="ctr" bIns="71100" lIns="71100" spcFirstLastPara="1" rIns="71100" wrap="square" tIns="7110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9009" y="1571851"/>
                              <a:ext cx="193092" cy="1930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rgbClr val="D07A5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33002" y="14433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>
                              <a:off x="233002" y="14433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Se atendió el 100% de las solicitudes de información recibidas </w:t>
                                </w:r>
                              </w:p>
                            </w:txbxContent>
                          </wps:txbx>
                          <wps:bodyPr anchorCtr="0" anchor="ctr" bIns="71100" lIns="71100" spcFirstLastPara="1" rIns="71100" wrap="square" tIns="711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808911" y="555512"/>
                              <a:ext cx="2628478" cy="309232"/>
                            </a:xfrm>
                            <a:prstGeom prst="rect">
                              <a:avLst/>
                            </a:prstGeom>
                            <a:solidFill>
                              <a:srgbClr val="323F4F"/>
                            </a:solidFill>
                            <a:ln cap="flat" cmpd="sng" w="12700">
                              <a:solidFill>
                                <a:srgbClr val="A4A4A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808911" y="671647"/>
                              <a:ext cx="193097" cy="1930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A4A4A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808911" y="0"/>
                              <a:ext cx="2628478" cy="555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3" name="Shape 33"/>
                          <wps:spPr>
                            <a:xfrm>
                              <a:off x="2808911" y="0"/>
                              <a:ext cx="2628478" cy="555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Capacitación de servidores públicos </w:t>
                                </w:r>
                              </w:p>
                            </w:txbxContent>
                          </wps:txbx>
                          <wps:bodyPr anchorCtr="0" anchor="ctr" bIns="22850" lIns="34275" spcFirstLastPara="1" rIns="34275" wrap="square" tIns="2285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808911" y="1121751"/>
                              <a:ext cx="193092" cy="1930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rgbClr val="B8888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992905" y="9932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6" name="Shape 36"/>
                          <wps:spPr>
                            <a:xfrm>
                              <a:off x="2992905" y="9932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Se realizó la orientación necesaria a los Enlaces de Transparencia</w:t>
                                </w:r>
                              </w:p>
                            </w:txbxContent>
                          </wps:txbx>
                          <wps:bodyPr anchorCtr="0" anchor="ctr" bIns="71100" lIns="71100" spcFirstLastPara="1" rIns="71100" wrap="square" tIns="7110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808911" y="1571851"/>
                              <a:ext cx="193092" cy="1930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rgbClr val="A4A4A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992905" y="14433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9" name="Shape 39"/>
                          <wps:spPr>
                            <a:xfrm>
                              <a:off x="2992905" y="1443348"/>
                              <a:ext cx="2444485" cy="450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95 Asesorías de a servidores públicos</w:t>
                                </w:r>
                              </w:p>
                            </w:txbxContent>
                          </wps:txbx>
                          <wps:bodyPr anchorCtr="0" anchor="ctr" bIns="71100" lIns="71100" spcFirstLastPara="1" rIns="71100" wrap="square" tIns="71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1894115"/>
                <wp:effectExtent b="0" l="0" r="0" t="0"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8941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Jefatura de Protección de Datos Personales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Elaboración de los Avisos de Privacidad para garantizar la protección de datos personales en posesión de este sujeto obligado.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Gestionar las respuestas de las solicitudes de derecho ARCO (acceso, rectificación, cancelación u oposición).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Elaboración del documento de seguridad para garantizar la protección de datos personales en posesión de este sujeto obligado.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5669280" cy="2847340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2847340"/>
                          <a:chOff x="0" y="0"/>
                          <a:chExt cx="5671800" cy="28473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669275" cy="2847325"/>
                            <a:chOff x="0" y="0"/>
                            <a:chExt cx="5669275" cy="284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69275" cy="284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831" y="474155"/>
                              <a:ext cx="1654977" cy="1235406"/>
                            </a:xfrm>
                            <a:prstGeom prst="round2SameRect">
                              <a:avLst>
                                <a:gd fmla="val 8000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32778" y="503102"/>
                              <a:ext cx="1597083" cy="1206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450" w:right="0" w:firstLine="40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f3f3f"/>
                                    <w:sz w:val="80"/>
                                    <w:vertAlign w:val="baseline"/>
                                  </w:rPr>
                                  <w:t xml:space="preserve">100%</w:t>
                                </w:r>
                              </w:p>
                            </w:txbxContent>
                          </wps:txbx>
                          <wps:bodyPr anchorCtr="0" anchor="t" bIns="50800" lIns="50800" spcFirstLastPara="1" rIns="50800" wrap="square" tIns="1524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831" y="1709561"/>
                              <a:ext cx="1654977" cy="531224"/>
                            </a:xfrm>
                            <a:prstGeom prst="rect">
                              <a:avLst/>
                            </a:prstGeom>
                            <a:solidFill>
                              <a:srgbClr val="3F3F3F"/>
                            </a:solidFill>
                            <a:ln cap="flat" cmpd="sng" w="12700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3831" y="1709561"/>
                              <a:ext cx="1165477" cy="531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Avisos de privacidad</w:t>
                                </w:r>
                              </w:p>
                            </w:txbxContent>
                          </wps:txbx>
                          <wps:bodyPr anchorCtr="0" anchor="ctr" bIns="0" lIns="53325" spcFirstLastPara="1" rIns="17775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16125" y="1793941"/>
                              <a:ext cx="579242" cy="579242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b="0" l="-36998" r="-36996" t="0"/>
                              </a:stretch>
                            </a:blipFill>
                            <a:ln cap="flat" cmpd="sng" w="12700">
                              <a:solidFill>
                                <a:srgbClr val="E0E0E0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38871" y="474155"/>
                              <a:ext cx="1654977" cy="1235406"/>
                            </a:xfrm>
                            <a:prstGeom prst="round2SameRect">
                              <a:avLst>
                                <a:gd fmla="val 8000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C85B5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1967818" y="503102"/>
                              <a:ext cx="1597083" cy="1206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450" w:right="0" w:firstLine="40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f3f3f"/>
                                    <w:sz w:val="80"/>
                                    <w:vertAlign w:val="baseline"/>
                                  </w:rPr>
                                  <w:t xml:space="preserve">100%</w:t>
                                </w:r>
                              </w:p>
                            </w:txbxContent>
                          </wps:txbx>
                          <wps:bodyPr anchorCtr="0" anchor="t" bIns="50800" lIns="50800" spcFirstLastPara="1" rIns="50800" wrap="square" tIns="1524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938871" y="1709561"/>
                              <a:ext cx="1654977" cy="531224"/>
                            </a:xfrm>
                            <a:prstGeom prst="rect">
                              <a:avLst/>
                            </a:prstGeom>
                            <a:solidFill>
                              <a:srgbClr val="323F4F"/>
                            </a:solidFill>
                            <a:ln cap="flat" cmpd="sng" w="12700">
                              <a:solidFill>
                                <a:srgbClr val="C85B5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1938871" y="1709561"/>
                              <a:ext cx="1165477" cy="531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Seguimieto a respuestas de derecho ARCO</w:t>
                                </w:r>
                              </w:p>
                            </w:txbxContent>
                          </wps:txbx>
                          <wps:bodyPr anchorCtr="0" anchor="ctr" bIns="0" lIns="45700" spcFirstLastPara="1" rIns="15225" wrap="square" tIns="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151165" y="1793941"/>
                              <a:ext cx="579242" cy="579242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b="0" l="-36998" r="-36996" t="0"/>
                              </a:stretch>
                            </a:blipFill>
                            <a:ln cap="flat" cmpd="sng" w="12700">
                              <a:solidFill>
                                <a:srgbClr val="F0D3D3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873911" y="474155"/>
                              <a:ext cx="1654977" cy="1235406"/>
                            </a:xfrm>
                            <a:prstGeom prst="round2SameRect">
                              <a:avLst>
                                <a:gd fmla="val 8000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FE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3902858" y="503102"/>
                              <a:ext cx="1597083" cy="1206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270" w:right="0" w:firstLine="1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f3f3f"/>
                                    <w:sz w:val="38"/>
                                    <w:vertAlign w:val="baseline"/>
                                  </w:rPr>
                                  <w:t xml:space="preserve">Garatizar la protección de datos personales</w:t>
                                </w:r>
                              </w:p>
                            </w:txbxContent>
                          </wps:txbx>
                          <wps:bodyPr anchorCtr="0" anchor="t" bIns="24125" lIns="24125" spcFirstLastPara="1" rIns="24125" wrap="square" tIns="7237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873911" y="1709561"/>
                              <a:ext cx="1654977" cy="531224"/>
                            </a:xfrm>
                            <a:prstGeom prst="rect">
                              <a:avLst/>
                            </a:prstGeom>
                            <a:solidFill>
                              <a:srgbClr val="C55A11"/>
                            </a:solidFill>
                            <a:ln cap="flat" cmpd="sng" w="12700">
                              <a:solidFill>
                                <a:srgbClr val="FE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3873911" y="1709561"/>
                              <a:ext cx="1165477" cy="531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Elaboración de documento de seguiridad </w:t>
                                </w:r>
                              </w:p>
                            </w:txbxContent>
                          </wps:txbx>
                          <wps:bodyPr anchorCtr="0" anchor="ctr" bIns="0" lIns="45700" spcFirstLastPara="1" rIns="15225" wrap="square" tIns="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086205" y="1793941"/>
                              <a:ext cx="579242" cy="579242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b="0" l="-36998" r="-36996" t="0"/>
                              </a:stretch>
                            </a:blipFill>
                            <a:ln cap="flat" cmpd="sng" w="12700">
                              <a:solidFill>
                                <a:srgbClr val="FEC9C9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69280" cy="2847340"/>
                <wp:effectExtent b="0" l="0" r="0" t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0" cy="2847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Jefatura de Información Fundamental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Gestionar con las Unidades Administrativas Internas la entrega de la información pública a actualizarse.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publica y actualiza de forma constante la información fundamental de este sujeto obligado; atendiendo la Ley de Transparencia y Acceso a la Información Pública del Estado de Jalisco y sus Municipios.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actualizó información correspondiente a la Herramienta de CIMTRA.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6080593" cy="2442457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593" cy="2442457"/>
                          <a:chOff x="0" y="0"/>
                          <a:chExt cx="5675275" cy="22729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669275" cy="2272925"/>
                            <a:chOff x="0" y="0"/>
                            <a:chExt cx="5669275" cy="2272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69275" cy="227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372" y="169467"/>
                              <a:ext cx="1772393" cy="13338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blipFill rotWithShape="1">
                              <a:blip r:embed="rId11">
                                <a:alphaModFix/>
                              </a:blip>
                              <a:stretch>
                                <a:fillRect b="0" l="-25997" r="-25998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116" y="1446462"/>
                              <a:ext cx="1770905" cy="657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2" name="Shape 52"/>
                          <wps:spPr>
                            <a:xfrm>
                              <a:off x="1116" y="1446462"/>
                              <a:ext cx="1770905" cy="657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f3f3f"/>
                                    <w:sz w:val="62"/>
                                    <w:vertAlign w:val="baseline"/>
                                  </w:rPr>
                                  <w:t xml:space="preserve">100 %</w:t>
                                </w:r>
                              </w:p>
                            </w:txbxContent>
                          </wps:txbx>
                          <wps:bodyPr anchorCtr="0" anchor="t" bIns="0" lIns="220450" spcFirstLastPara="1" rIns="220450" wrap="square" tIns="220450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949930" y="157327"/>
                              <a:ext cx="1770905" cy="138239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blipFill rotWithShape="1">
                              <a:blip r:embed="rId12">
                                <a:alphaModFix/>
                              </a:blip>
                              <a:stretch>
                                <a:fillRect b="-22999" l="0" r="0" t="-22999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49930" y="1458603"/>
                              <a:ext cx="1770905" cy="657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5" name="Shape 55"/>
                          <wps:spPr>
                            <a:xfrm>
                              <a:off x="1949930" y="1458603"/>
                              <a:ext cx="1770905" cy="657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f3f3f"/>
                                    <w:sz w:val="62"/>
                                    <w:vertAlign w:val="baseline"/>
                                  </w:rPr>
                                  <w:t xml:space="preserve">95%</w:t>
                                </w:r>
                              </w:p>
                            </w:txbxContent>
                          </wps:txbx>
                          <wps:bodyPr anchorCtr="0" anchor="t" bIns="0" lIns="220450" spcFirstLastPara="1" rIns="220450" wrap="square" tIns="220450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3898001" y="197888"/>
                              <a:ext cx="1770905" cy="122015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blipFill rotWithShape="1">
                              <a:blip r:embed="rId13">
                                <a:alphaModFix/>
                              </a:blip>
                              <a:stretch>
                                <a:fillRect b="0" l="-10999" r="-10999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3898001" y="1418042"/>
                              <a:ext cx="1770905" cy="657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8" name="Shape 58"/>
                          <wps:spPr>
                            <a:xfrm>
                              <a:off x="3898001" y="1418042"/>
                              <a:ext cx="1770905" cy="657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f3f3f"/>
                                    <w:sz w:val="62"/>
                                    <w:vertAlign w:val="baseline"/>
                                  </w:rPr>
                                  <w:t xml:space="preserve">99%</w:t>
                                </w:r>
                              </w:p>
                            </w:txbxContent>
                          </wps:txbx>
                          <wps:bodyPr anchorCtr="0" anchor="t" bIns="0" lIns="220450" spcFirstLastPara="1" rIns="220450" wrap="square" tIns="22045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593" cy="2442457"/>
                <wp:effectExtent b="0" l="0" r="0" t="0"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593" cy="24424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130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130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DIRECCIÓN DE ATENCIÓN CIUDADANA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ind w:left="720" w:firstLine="0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Brindar atención y orientación a los ciudadanos a través de los módulos instalados en distintas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delegaciones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y dependencias de Gobierno.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Recibir y dar seguimiento a reportes y/o peticiones ciudadanas. </w:t>
      </w:r>
    </w:p>
    <w:tbl>
      <w:tblPr>
        <w:tblStyle w:val="Table2"/>
        <w:tblW w:w="8944.0" w:type="dxa"/>
        <w:jc w:val="left"/>
        <w:tblLayout w:type="fixed"/>
        <w:tblLook w:val="0400"/>
      </w:tblPr>
      <w:tblGrid>
        <w:gridCol w:w="5915"/>
        <w:gridCol w:w="3029"/>
        <w:tblGridChange w:id="0">
          <w:tblGrid>
            <w:gridCol w:w="5915"/>
            <w:gridCol w:w="3029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b383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b383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 recibidos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 resueltos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 en proceso de servicios municipales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130"/>
        </w:tabs>
        <w:spacing w:line="276" w:lineRule="auto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</wp:posOffset>
            </wp:positionH>
            <wp:positionV relativeFrom="paragraph">
              <wp:posOffset>3175</wp:posOffset>
            </wp:positionV>
            <wp:extent cx="5486400" cy="3200400"/>
            <wp:wrapNone/>
            <wp:docPr id="14" name=""/>
            <a:graphic>
              <a:graphicData uri="http://schemas.openxmlformats.org/drawingml/2006/chart">
                <c:chart r:id="rId15"/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13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0"/>
        </w:tabs>
        <w:spacing w:line="276" w:lineRule="auto"/>
        <w:rPr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Reportes de falta de agua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2083753</wp:posOffset>
            </wp:positionH>
            <wp:positionV relativeFrom="paragraph">
              <wp:posOffset>247005</wp:posOffset>
            </wp:positionV>
            <wp:extent cx="4067175" cy="2295525"/>
            <wp:wrapNone/>
            <wp:docPr id="15" name=""/>
            <a:graphic>
              <a:graphicData uri="http://schemas.openxmlformats.org/drawingml/2006/chart">
                <c:chart r:id="rId16"/>
              </a:graphicData>
            </a:graphic>
          </wp:anchor>
        </w:drawing>
      </w:r>
    </w:p>
    <w:tbl>
      <w:tblPr>
        <w:tblStyle w:val="Table3"/>
        <w:tblW w:w="2830.0" w:type="dxa"/>
        <w:jc w:val="left"/>
        <w:tblLayout w:type="fixed"/>
        <w:tblLook w:val="0400"/>
      </w:tblPr>
      <w:tblGrid>
        <w:gridCol w:w="1413"/>
        <w:gridCol w:w="1417"/>
        <w:tblGridChange w:id="0">
          <w:tblGrid>
            <w:gridCol w:w="1413"/>
            <w:gridCol w:w="1417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b383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b383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 recibidos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257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 resueltos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84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 en proceso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209</w:t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7200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DIRECCIÓN DE ARCHIVO MUNICIPAL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dirección de Archivo Municipal garantiza el acceso de información pública mediante el resguardo de documentación procedente de la información pública.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recibió documentación procedente de la administración pública, misma que se cotejó y acomodó en su destino final.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brinda asesoría día con día a las diferentes áreas referente a archivo 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transferencias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documentales.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16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Capacitación constante a personal de dependencias del municipio.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Actividades para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la optimización de resguardo y preservación documental.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mc:AlternateContent>
          <mc:Choice Requires="wpg">
            <w:drawing>
              <wp:inline distB="0" distT="0" distL="0" distR="0">
                <wp:extent cx="5486400" cy="2782388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782388"/>
                          <a:chOff x="0" y="0"/>
                          <a:chExt cx="5492775" cy="27823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86400" cy="2782375"/>
                            <a:chOff x="0" y="0"/>
                            <a:chExt cx="5486400" cy="2782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278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0" y="39034"/>
                              <a:ext cx="5486400" cy="954719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2" name="Shape 42"/>
                          <wps:spPr>
                            <a:xfrm>
                              <a:off x="46606" y="85640"/>
                              <a:ext cx="5393188" cy="861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Atención solicitudes de busqueda documental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0" y="993754"/>
                              <a:ext cx="5486400" cy="39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4" name="Shape 44"/>
                          <wps:spPr>
                            <a:xfrm>
                              <a:off x="0" y="993754"/>
                              <a:ext cx="5486400" cy="39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270" w:right="0" w:firstLine="1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60 solicitudes</w:t>
                                </w:r>
                              </w:p>
                            </w:txbxContent>
                          </wps:txbx>
                          <wps:bodyPr anchorCtr="0" anchor="t" bIns="30475" lIns="174175" spcFirstLastPara="1" rIns="170675" wrap="square" tIns="3047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0" y="1391194"/>
                              <a:ext cx="5486400" cy="954719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dk2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6" name="Shape 46"/>
                          <wps:spPr>
                            <a:xfrm>
                              <a:off x="46606" y="1437800"/>
                              <a:ext cx="5393188" cy="861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Se emitio carta descriptiva de archivo municipal 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0" y="2345913"/>
                              <a:ext cx="5486400" cy="39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8" name="Shape 48"/>
                          <wps:spPr>
                            <a:xfrm>
                              <a:off x="0" y="2345913"/>
                              <a:ext cx="5486400" cy="39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270" w:right="0" w:firstLine="1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100% respuestas a solicitudes</w:t>
                                </w:r>
                              </w:p>
                            </w:txbxContent>
                          </wps:txbx>
                          <wps:bodyPr anchorCtr="0" anchor="t" bIns="30475" lIns="174175" spcFirstLastPara="1" rIns="170675" wrap="square" tIns="304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2782388"/>
                <wp:effectExtent b="0" l="0" r="0" t="0"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7823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  <w:rtl w:val="0"/>
      </w:rPr>
      <w:t xml:space="preserve">DIRECCIÓN DE PLANEACIÓN Y EVALUACIÓN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1520005</wp:posOffset>
          </wp:positionH>
          <wp:positionV relativeFrom="paragraph">
            <wp:posOffset>-71028</wp:posOffset>
          </wp:positionV>
          <wp:extent cx="1562735" cy="395719"/>
          <wp:effectExtent b="0" l="0" r="0" t="0"/>
          <wp:wrapNone/>
          <wp:docPr descr="C:\Users\Lenovo\Downloads\WhatsAppImage2022-01-12at12.53.47PM.jpeg" id="21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1"/>
                  <a:srcRect b="0" l="0" r="0" t="66478"/>
                  <a:stretch>
                    <a:fillRect/>
                  </a:stretch>
                </pic:blipFill>
                <pic:spPr>
                  <a:xfrm>
                    <a:off x="0" y="0"/>
                    <a:ext cx="1562735" cy="39571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Coordinación General de Transparencia, Archivo y Gobierno Abierto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5019675</wp:posOffset>
          </wp:positionH>
          <wp:positionV relativeFrom="paragraph">
            <wp:posOffset>-285749</wp:posOffset>
          </wp:positionV>
          <wp:extent cx="1562735" cy="573156"/>
          <wp:effectExtent b="0" l="0" r="0" t="0"/>
          <wp:wrapNone/>
          <wp:docPr descr="C:\Users\Lenovo\Downloads\WhatsAppImage2022-01-12at12.53.47PM.jpeg" id="22" name="image1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1.jpg"/>
                  <pic:cNvPicPr preferRelativeResize="0"/>
                </pic:nvPicPr>
                <pic:blipFill>
                  <a:blip r:embed="rId1"/>
                  <a:srcRect b="36989" l="0" r="0" t="14456"/>
                  <a:stretch>
                    <a:fillRect/>
                  </a:stretch>
                </pic:blipFill>
                <pic:spPr>
                  <a:xfrm>
                    <a:off x="0" y="0"/>
                    <a:ext cx="1562735" cy="5731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Resumen Anual 2022</w: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964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96427"/>
  </w:style>
  <w:style w:type="paragraph" w:styleId="Piedepgina">
    <w:name w:val="footer"/>
    <w:basedOn w:val="Normal"/>
    <w:link w:val="PiedepginaCar"/>
    <w:uiPriority w:val="99"/>
    <w:unhideWhenUsed w:val="1"/>
    <w:rsid w:val="00D964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96427"/>
  </w:style>
  <w:style w:type="paragraph" w:styleId="NormalWeb">
    <w:name w:val="Normal (Web)"/>
    <w:basedOn w:val="Normal"/>
    <w:uiPriority w:val="99"/>
    <w:semiHidden w:val="1"/>
    <w:unhideWhenUsed w:val="1"/>
    <w:rsid w:val="00D9642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6" w:customStyle="1">
    <w:name w:val="6"/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4" w:customStyle="1">
    <w:name w:val="4"/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Prrafodelista">
    <w:name w:val="List Paragraph"/>
    <w:basedOn w:val="Normal"/>
    <w:uiPriority w:val="34"/>
    <w:qFormat w:val="1"/>
    <w:rsid w:val="00221A44"/>
    <w:pPr>
      <w:ind w:left="720"/>
      <w:contextualSpacing w:val="1"/>
    </w:pPr>
  </w:style>
  <w:style w:type="table" w:styleId="3" w:customStyle="1">
    <w:name w:val="3"/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3.png"/><Relationship Id="rId13" Type="http://schemas.openxmlformats.org/officeDocument/2006/relationships/image" Target="media/image8.jp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chart" Target="charts/chart1.xml"/><Relationship Id="rId14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chart" Target="charts/chart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chart" Target="charts/chart3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Sheet1.xlsx"/></Relationships>
</file>

<file path=word/charts/_rels/chart2.xml.rels><?xml version="1.0" encoding="UTF-8" standalone="yes"?>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Sheet2.xlsx"/></Relationships>
</file>

<file path=word/charts/_rels/chart3.xml.rels><?xml version="1.0" encoding="UTF-8" standalone="yes"?>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package" Target="../embeddings/Microsoft_Excel_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Resultados</a:t>
            </a:r>
            <a:r>
              <a:rPr lang="es-MX" baseline="0"/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1502624671916E-2"/>
          <c:y val="0.16702380952380952"/>
          <c:w val="0.90849737532808394"/>
          <c:h val="0.7607608423947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recibidos </c:v>
                </c:pt>
                <c:pt idx="1">
                  <c:v>resueltos </c:v>
                </c:pt>
                <c:pt idx="2">
                  <c:v>en proceso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602</c:v>
                </c:pt>
                <c:pt idx="1">
                  <c:v>189</c:v>
                </c:pt>
                <c:pt idx="2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A-43A8-A43B-5583EC71546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recibidos </c:v>
                </c:pt>
                <c:pt idx="1">
                  <c:v>resueltos </c:v>
                </c:pt>
                <c:pt idx="2">
                  <c:v>en proceso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22A-43A8-A43B-5583EC71546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recibidos </c:v>
                </c:pt>
                <c:pt idx="1">
                  <c:v>resueltos </c:v>
                </c:pt>
                <c:pt idx="2">
                  <c:v>en proceso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22A-43A8-A43B-5583EC7154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0172239"/>
        <c:axId val="90168911"/>
      </c:barChart>
      <c:catAx>
        <c:axId val="90172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0168911"/>
        <c:crosses val="autoZero"/>
        <c:auto val="1"/>
        <c:lblAlgn val="ctr"/>
        <c:lblOffset val="100"/>
        <c:noMultiLvlLbl val="0"/>
      </c:catAx>
      <c:valAx>
        <c:axId val="90168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0172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Resultados</a:t>
            </a:r>
            <a:r>
              <a:rPr lang="es-MX" baseline="0"/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recibidos </c:v>
                </c:pt>
                <c:pt idx="1">
                  <c:v>resueltos </c:v>
                </c:pt>
                <c:pt idx="2">
                  <c:v>en proceso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257</c:v>
                </c:pt>
                <c:pt idx="1">
                  <c:v>84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FD-42C4-9269-AE73A7544C9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recibidos </c:v>
                </c:pt>
                <c:pt idx="1">
                  <c:v>resueltos </c:v>
                </c:pt>
                <c:pt idx="2">
                  <c:v>en proceso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2FD-42C4-9269-AE73A7544C9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recibidos </c:v>
                </c:pt>
                <c:pt idx="1">
                  <c:v>resueltos </c:v>
                </c:pt>
                <c:pt idx="2">
                  <c:v>en proceso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2FD-42C4-9269-AE73A7544C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35705423"/>
        <c:axId val="2035712495"/>
      </c:barChart>
      <c:catAx>
        <c:axId val="203570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35712495"/>
        <c:crosses val="autoZero"/>
        <c:auto val="1"/>
        <c:lblAlgn val="ctr"/>
        <c:lblOffset val="100"/>
        <c:noMultiLvlLbl val="0"/>
      </c:catAx>
      <c:valAx>
        <c:axId val="2035712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35705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Resultado</a:t>
            </a:r>
            <a:r>
              <a:rPr lang="es-MX" baseline="0"/>
              <a:t>s </a:t>
            </a:r>
            <a:r>
              <a:rPr lang="es-MX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6465195055746238"/>
          <c:y val="0.1345887605170849"/>
          <c:w val="0.62543733315386874"/>
          <c:h val="0.69066941398680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anual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Atender y orientación a la ciudadanía en temas de Transparencia.</c:v>
                </c:pt>
                <c:pt idx="1">
                  <c:v>Recibir, admitir, gestionar y resolver las solicitudes de acceso a la información pública que sean de su competencia; </c:v>
                </c:pt>
                <c:pt idx="2">
                  <c:v>Recibir, admitir y resolver las solicitudes de Derecho ARCO y remitir la resolución correspondiente al Instituto de Transparencia e Información Pública de Jalisco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945</c:v>
                </c:pt>
                <c:pt idx="1">
                  <c:v>1034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0-411A-867A-25CE257A9D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08658015"/>
        <c:axId val="2108658431"/>
      </c:barChart>
      <c:catAx>
        <c:axId val="210865801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8658431"/>
        <c:crosses val="autoZero"/>
        <c:auto val="1"/>
        <c:lblAlgn val="ctr"/>
        <c:lblOffset val="100"/>
        <c:noMultiLvlLbl val="0"/>
      </c:catAx>
      <c:valAx>
        <c:axId val="21086584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08658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AUByLrgKGvpLI8E29an7QK1uA==">AMUW2mX0gh7AISCX3b+J4izcRYKxN8L5FGpnBdSKctcUwdagWwSPy7H/Q10QMeeUv0L2x1bSYrEZvHQ3HSt97EY1cn3iyYIlKV95d4Lz9iK+IxG46sb7TdMahPnxDsoWgEeW14qxO3GE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2022-10-24T17:40:00Z</dcterms:created>
  <dc:creator>Susan</dc:creator>
</cp:coreProperties>
</file>