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ÓRGANO INTERNO DE CONTROL</w:t>
      </w:r>
    </w:p>
    <w:p w:rsidR="00000000" w:rsidDel="00000000" w:rsidP="00000000" w:rsidRDefault="00000000" w:rsidRPr="00000000" w14:paraId="00000002">
      <w:pPr>
        <w:spacing w:line="276"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03">
      <w:pPr>
        <w:spacing w:after="0" w:line="276" w:lineRule="auto"/>
        <w:jc w:val="both"/>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Sistema de Control Interno Municipal</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Se ejecutó el proyecto del Sistema de Control Interno para su presentación.</w:t>
      </w:r>
      <w:r w:rsidDel="00000000" w:rsidR="00000000" w:rsidRPr="00000000">
        <w:rPr>
          <w:rtl w:val="0"/>
        </w:rPr>
      </w:r>
    </w:p>
    <w:p w:rsidR="00000000" w:rsidDel="00000000" w:rsidP="00000000" w:rsidRDefault="00000000" w:rsidRPr="00000000" w14:paraId="00000006">
      <w:pPr>
        <w:spacing w:after="0"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Contar con una herramienta para las dependencias y servidores públicos a través del cual se dé a conocer a los integrantes de la administración pública, los valores y principios que deben observar y cumplir en el desempeño de sus funciones, garantizando a la sociedad un mejor servicio a través del correcto y honorable ejercicio de la función pública, con el fin de fortalecer la legalidad, honestidad, eficacia, eficiencia, transparencia y rendición de cuentas en las distintas dependencias; así como emitir medidas de prevención que propicien la mayor actitud que permita el bienestar social y otorgarlo de la mejor manera posible.</w:t>
      </w:r>
    </w:p>
    <w:p w:rsidR="00000000" w:rsidDel="00000000" w:rsidP="00000000" w:rsidRDefault="00000000" w:rsidRPr="00000000" w14:paraId="00000007">
      <w:pPr>
        <w:spacing w:after="0" w:line="276" w:lineRule="auto"/>
        <w:jc w:val="both"/>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integraron los resultados del cuestionario aplicado a la Dirección de Parques y Jardines en base al Modelo de Control Interno COSO 2013.</w:t>
      </w:r>
    </w:p>
    <w:p w:rsidR="00000000" w:rsidDel="00000000" w:rsidP="00000000" w:rsidRDefault="00000000" w:rsidRPr="00000000" w14:paraId="00000009">
      <w:pPr>
        <w:spacing w:after="0" w:line="276" w:lineRule="auto"/>
        <w:jc w:val="both"/>
        <w:rPr>
          <w:rFonts w:ascii="Arial" w:cs="Arial" w:eastAsia="Arial" w:hAnsi="Arial"/>
          <w:sz w:val="24"/>
          <w:szCs w:val="24"/>
        </w:rPr>
      </w:pPr>
      <w:r w:rsidDel="00000000" w:rsidR="00000000" w:rsidRPr="00000000">
        <w:rPr>
          <w:rFonts w:ascii="Arial" w:cs="Arial" w:eastAsia="Arial" w:hAnsi="Arial"/>
          <w:color w:val="000000"/>
          <w:sz w:val="24"/>
          <w:szCs w:val="24"/>
          <w:highlight w:val="white"/>
          <w:rtl w:val="0"/>
        </w:rPr>
        <w:t xml:space="preserve">Garantizar la efectividad gubernamental de la Administración Pública Municipal a través de la fiscalización, prevención de actos de corrupción, regulación del comportamiento ético, la implementación de la transparencia y rendición de cuentas en el servicio </w:t>
      </w:r>
      <w:r w:rsidDel="00000000" w:rsidR="00000000" w:rsidRPr="00000000">
        <w:rPr>
          <w:rFonts w:ascii="Arial" w:cs="Arial" w:eastAsia="Arial" w:hAnsi="Arial"/>
          <w:sz w:val="24"/>
          <w:szCs w:val="24"/>
          <w:highlight w:val="white"/>
          <w:rtl w:val="0"/>
        </w:rPr>
        <w:t xml:space="preserve">público.</w:t>
      </w:r>
      <w:r w:rsidDel="00000000" w:rsidR="00000000" w:rsidRPr="00000000">
        <w:rPr>
          <w:rtl w:val="0"/>
        </w:rPr>
      </w:r>
    </w:p>
    <w:p w:rsidR="00000000" w:rsidDel="00000000" w:rsidP="00000000" w:rsidRDefault="00000000" w:rsidRPr="00000000" w14:paraId="0000000A">
      <w:pPr>
        <w:spacing w:after="0" w:line="276"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B">
      <w:pPr>
        <w:numPr>
          <w:ilvl w:val="0"/>
          <w:numId w:val="1"/>
        </w:numPr>
        <w:spacing w:after="0" w:line="276" w:lineRule="auto"/>
        <w:ind w:left="714" w:hanging="357"/>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Se llevó a cabo el proceso de entrega-recepción del 100% de las dependencias, interviniendo en la coordinación, auxilio, revisión y supervisión del cumplimiento del proceso, así como el levantamiento de las actas administrativas.</w:t>
      </w:r>
      <w:r w:rsidDel="00000000" w:rsidR="00000000" w:rsidRPr="00000000">
        <w:rPr>
          <w:rtl w:val="0"/>
        </w:rPr>
      </w:r>
    </w:p>
    <w:p w:rsidR="00000000" w:rsidDel="00000000" w:rsidP="00000000" w:rsidRDefault="00000000" w:rsidRPr="00000000" w14:paraId="0000000C">
      <w:pPr>
        <w:numPr>
          <w:ilvl w:val="0"/>
          <w:numId w:val="1"/>
        </w:numPr>
        <w:spacing w:after="0" w:line="276" w:lineRule="auto"/>
        <w:ind w:left="714" w:hanging="357"/>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Recepción y resguardos de los sellos oficiales de las dependencias que integran la administración 2021-2024.</w:t>
      </w:r>
      <w:r w:rsidDel="00000000" w:rsidR="00000000" w:rsidRPr="00000000">
        <w:rPr>
          <w:rtl w:val="0"/>
        </w:rPr>
      </w:r>
    </w:p>
    <w:p w:rsidR="00000000" w:rsidDel="00000000" w:rsidP="00000000" w:rsidRDefault="00000000" w:rsidRPr="00000000" w14:paraId="0000000D">
      <w:pPr>
        <w:numPr>
          <w:ilvl w:val="0"/>
          <w:numId w:val="1"/>
        </w:numPr>
        <w:spacing w:after="0" w:line="276" w:lineRule="auto"/>
        <w:ind w:left="714" w:hanging="357"/>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Recepción de declaraciones patrimoniales de servidores públicos.</w:t>
      </w:r>
      <w:r w:rsidDel="00000000" w:rsidR="00000000" w:rsidRPr="00000000">
        <w:rPr>
          <w:rtl w:val="0"/>
        </w:rPr>
      </w:r>
    </w:p>
    <w:p w:rsidR="00000000" w:rsidDel="00000000" w:rsidP="00000000" w:rsidRDefault="00000000" w:rsidRPr="00000000" w14:paraId="0000000E">
      <w:pPr>
        <w:spacing w:after="0" w:line="276" w:lineRule="auto"/>
        <w:ind w:left="714"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F">
      <w:pPr>
        <w:spacing w:line="276" w:lineRule="auto"/>
        <w:jc w:val="both"/>
        <w:rPr>
          <w:rFonts w:ascii="Arial" w:cs="Arial" w:eastAsia="Arial" w:hAnsi="Arial"/>
          <w:color w:val="595959"/>
          <w:sz w:val="24"/>
          <w:szCs w:val="24"/>
        </w:rPr>
      </w:pPr>
      <w:r w:rsidDel="00000000" w:rsidR="00000000" w:rsidRPr="00000000">
        <w:rPr>
          <w:rFonts w:ascii="Arial" w:cs="Arial" w:eastAsia="Arial" w:hAnsi="Arial"/>
          <w:color w:val="595959"/>
          <w:sz w:val="24"/>
          <w:szCs w:val="24"/>
        </w:rPr>
        <mc:AlternateContent>
          <mc:Choice Requires="wpg">
            <w:drawing>
              <wp:inline distB="0" distT="0" distL="0" distR="0">
                <wp:extent cx="5486400" cy="1828800"/>
                <wp:effectExtent b="0" l="0" r="0" t="0"/>
                <wp:docPr id="3" name=""/>
                <a:graphic>
                  <a:graphicData uri="http://schemas.microsoft.com/office/word/2010/wordprocessingGroup">
                    <wpg:wgp>
                      <wpg:cNvGrpSpPr/>
                      <wpg:grpSpPr>
                        <a:xfrm>
                          <a:off x="0" y="0"/>
                          <a:ext cx="5486400" cy="1828800"/>
                          <a:chOff x="0" y="0"/>
                          <a:chExt cx="5486400" cy="1833975"/>
                        </a:xfrm>
                      </wpg:grpSpPr>
                      <wpg:grpSp>
                        <wpg:cNvGrpSpPr/>
                        <wpg:grpSpPr>
                          <a:xfrm>
                            <a:off x="0" y="0"/>
                            <a:ext cx="5486400" cy="1828800"/>
                            <a:chOff x="0" y="0"/>
                            <a:chExt cx="5486400" cy="1828800"/>
                          </a:xfrm>
                        </wpg:grpSpPr>
                        <wps:wsp>
                          <wps:cNvSpPr/>
                          <wps:cNvPr id="3" name="Shape 3"/>
                          <wps:spPr>
                            <a:xfrm>
                              <a:off x="0" y="0"/>
                              <a:ext cx="5486400" cy="1828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0618" y="1187"/>
                              <a:ext cx="1591705" cy="1188174"/>
                            </a:xfrm>
                            <a:prstGeom prst="round2SameRect">
                              <a:avLst>
                                <a:gd fmla="val 8000" name="adj1"/>
                                <a:gd fmla="val 0" name="adj2"/>
                              </a:avLst>
                            </a:prstGeom>
                            <a:solidFill>
                              <a:schemeClr val="lt1">
                                <a:alpha val="89803"/>
                              </a:schemeClr>
                            </a:solidFill>
                            <a:ln cap="flat" cmpd="sng" w="12700">
                              <a:solidFill>
                                <a:schemeClr val="accent2"/>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 name="Shape 5"/>
                          <wps:spPr>
                            <a:xfrm>
                              <a:off x="48458" y="29027"/>
                              <a:ext cx="1536025" cy="1160334"/>
                            </a:xfrm>
                            <a:prstGeom prst="rect">
                              <a:avLst/>
                            </a:prstGeom>
                            <a:noFill/>
                            <a:ln>
                              <a:noFill/>
                            </a:ln>
                          </wps:spPr>
                          <wps:txbx>
                            <w:txbxContent>
                              <w:p w:rsidR="00000000" w:rsidDel="00000000" w:rsidP="00000000" w:rsidRDefault="00000000" w:rsidRPr="00000000">
                                <w:pPr>
                                  <w:spacing w:after="0" w:before="0" w:line="215.9999942779541"/>
                                  <w:ind w:left="450" w:right="0" w:firstLine="390"/>
                                  <w:jc w:val="left"/>
                                  <w:textDirection w:val="btLr"/>
                                </w:pPr>
                                <w:r w:rsidDel="00000000" w:rsidR="00000000" w:rsidRPr="00000000">
                                  <w:rPr>
                                    <w:rFonts w:ascii="Calibri" w:cs="Calibri" w:eastAsia="Calibri" w:hAnsi="Calibri"/>
                                    <w:b w:val="0"/>
                                    <w:i w:val="0"/>
                                    <w:smallCaps w:val="0"/>
                                    <w:strike w:val="0"/>
                                    <w:color w:val="595959"/>
                                    <w:sz w:val="78"/>
                                    <w:vertAlign w:val="baseline"/>
                                  </w:rPr>
                                  <w:t xml:space="preserve">1,604</w:t>
                                </w:r>
                              </w:p>
                            </w:txbxContent>
                          </wps:txbx>
                          <wps:bodyPr anchorCtr="0" anchor="t" bIns="49525" lIns="49525" spcFirstLastPara="1" rIns="49525" wrap="square" tIns="148575">
                            <a:noAutofit/>
                          </wps:bodyPr>
                        </wps:wsp>
                        <wps:wsp>
                          <wps:cNvSpPr/>
                          <wps:cNvPr id="6" name="Shape 6"/>
                          <wps:spPr>
                            <a:xfrm>
                              <a:off x="20618" y="1189361"/>
                              <a:ext cx="1591705" cy="510914"/>
                            </a:xfrm>
                            <a:prstGeom prst="rect">
                              <a:avLst/>
                            </a:prstGeom>
                            <a:solidFill>
                              <a:schemeClr val="accent2"/>
                            </a:solidFill>
                            <a:ln cap="flat" cmpd="sng" w="12700">
                              <a:solidFill>
                                <a:schemeClr val="accent2"/>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 name="Shape 7"/>
                          <wps:spPr>
                            <a:xfrm>
                              <a:off x="20618" y="1189361"/>
                              <a:ext cx="1120919" cy="510914"/>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Declaraciones Patrimoniales</w:t>
                                </w:r>
                              </w:p>
                            </w:txbxContent>
                          </wps:txbx>
                          <wps:bodyPr anchorCtr="0" anchor="ctr" bIns="0" lIns="45700" spcFirstLastPara="1" rIns="15225" wrap="square" tIns="0">
                            <a:noAutofit/>
                          </wps:bodyPr>
                        </wps:wsp>
                        <wps:wsp>
                          <wps:cNvSpPr/>
                          <wps:cNvPr id="8" name="Shape 8"/>
                          <wps:spPr>
                            <a:xfrm>
                              <a:off x="1186564" y="1270515"/>
                              <a:ext cx="557096" cy="557096"/>
                            </a:xfrm>
                            <a:prstGeom prst="ellipse">
                              <a:avLst/>
                            </a:prstGeom>
                            <a:blipFill rotWithShape="1">
                              <a:blip r:embed="rId7">
                                <a:alphaModFix/>
                              </a:blip>
                              <a:stretch>
                                <a:fillRect b="0" l="-36998" r="-36996" t="0"/>
                              </a:stretch>
                            </a:blipFill>
                            <a:ln cap="flat" cmpd="sng" w="12700">
                              <a:solidFill>
                                <a:srgbClr val="F7D5CB">
                                  <a:alpha val="89803"/>
                                </a:srgbClr>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881678" y="1187"/>
                              <a:ext cx="1591705" cy="1188174"/>
                            </a:xfrm>
                            <a:prstGeom prst="round2SameRect">
                              <a:avLst>
                                <a:gd fmla="val 8000" name="adj1"/>
                                <a:gd fmla="val 0" name="adj2"/>
                              </a:avLst>
                            </a:prstGeom>
                            <a:solidFill>
                              <a:schemeClr val="lt1">
                                <a:alpha val="89803"/>
                              </a:schemeClr>
                            </a:solidFill>
                            <a:ln cap="flat" cmpd="sng" w="12700">
                              <a:solidFill>
                                <a:schemeClr val="accent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 name="Shape 10"/>
                          <wps:spPr>
                            <a:xfrm>
                              <a:off x="1909518" y="29027"/>
                              <a:ext cx="1536025" cy="1160334"/>
                            </a:xfrm>
                            <a:prstGeom prst="rect">
                              <a:avLst/>
                            </a:prstGeom>
                            <a:noFill/>
                            <a:ln>
                              <a:noFill/>
                            </a:ln>
                          </wps:spPr>
                          <wps:txbx>
                            <w:txbxContent>
                              <w:p w:rsidR="00000000" w:rsidDel="00000000" w:rsidP="00000000" w:rsidRDefault="00000000" w:rsidRPr="00000000">
                                <w:pPr>
                                  <w:spacing w:after="0" w:before="0" w:line="215.9999942779541"/>
                                  <w:ind w:left="450" w:right="0" w:firstLine="390"/>
                                  <w:jc w:val="left"/>
                                  <w:textDirection w:val="btLr"/>
                                </w:pPr>
                                <w:r w:rsidDel="00000000" w:rsidR="00000000" w:rsidRPr="00000000">
                                  <w:rPr>
                                    <w:rFonts w:ascii="Calibri" w:cs="Calibri" w:eastAsia="Calibri" w:hAnsi="Calibri"/>
                                    <w:b w:val="0"/>
                                    <w:i w:val="0"/>
                                    <w:smallCaps w:val="0"/>
                                    <w:strike w:val="0"/>
                                    <w:color w:val="595959"/>
                                    <w:sz w:val="78"/>
                                    <w:vertAlign w:val="baseline"/>
                                  </w:rPr>
                                  <w:t xml:space="preserve">301</w:t>
                                </w:r>
                              </w:p>
                            </w:txbxContent>
                          </wps:txbx>
                          <wps:bodyPr anchorCtr="0" anchor="t" bIns="49525" lIns="49525" spcFirstLastPara="1" rIns="49525" wrap="square" tIns="148575">
                            <a:noAutofit/>
                          </wps:bodyPr>
                        </wps:wsp>
                        <wps:wsp>
                          <wps:cNvSpPr/>
                          <wps:cNvPr id="11" name="Shape 11"/>
                          <wps:spPr>
                            <a:xfrm>
                              <a:off x="1881678" y="1189361"/>
                              <a:ext cx="1591705" cy="510914"/>
                            </a:xfrm>
                            <a:prstGeom prst="rect">
                              <a:avLst/>
                            </a:prstGeom>
                            <a:solidFill>
                              <a:schemeClr val="accent3"/>
                            </a:solidFill>
                            <a:ln cap="flat" cmpd="sng" w="12700">
                              <a:solidFill>
                                <a:schemeClr val="accent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1881678" y="1189361"/>
                              <a:ext cx="1120919" cy="510914"/>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Servidores Públicos Capacitados</w:t>
                                </w:r>
                              </w:p>
                            </w:txbxContent>
                          </wps:txbx>
                          <wps:bodyPr anchorCtr="0" anchor="ctr" bIns="0" lIns="45700" spcFirstLastPara="1" rIns="15225" wrap="square" tIns="0">
                            <a:noAutofit/>
                          </wps:bodyPr>
                        </wps:wsp>
                        <wps:wsp>
                          <wps:cNvSpPr/>
                          <wps:cNvPr id="13" name="Shape 13"/>
                          <wps:spPr>
                            <a:xfrm>
                              <a:off x="3047624" y="1270515"/>
                              <a:ext cx="557096" cy="557096"/>
                            </a:xfrm>
                            <a:prstGeom prst="ellipse">
                              <a:avLst/>
                            </a:prstGeom>
                            <a:blipFill rotWithShape="1">
                              <a:blip r:embed="rId7">
                                <a:alphaModFix/>
                              </a:blip>
                              <a:stretch>
                                <a:fillRect b="0" l="-36998" r="-36996" t="0"/>
                              </a:stretch>
                            </a:blipFill>
                            <a:ln cap="flat" cmpd="sng" w="12700">
                              <a:solidFill>
                                <a:srgbClr val="E0E0E0">
                                  <a:alpha val="89803"/>
                                </a:srgbClr>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3742738" y="1187"/>
                              <a:ext cx="1591705" cy="1188174"/>
                            </a:xfrm>
                            <a:prstGeom prst="round2SameRect">
                              <a:avLst>
                                <a:gd fmla="val 8000" name="adj1"/>
                                <a:gd fmla="val 0" name="adj2"/>
                              </a:avLst>
                            </a:prstGeom>
                            <a:solidFill>
                              <a:schemeClr val="lt1">
                                <a:alpha val="89803"/>
                              </a:schemeClr>
                            </a:solidFill>
                            <a:ln cap="flat" cmpd="sng" w="12700">
                              <a:solidFill>
                                <a:schemeClr val="accent4"/>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5" name="Shape 15"/>
                          <wps:spPr>
                            <a:xfrm>
                              <a:off x="3770578" y="29027"/>
                              <a:ext cx="1536025" cy="1160334"/>
                            </a:xfrm>
                            <a:prstGeom prst="rect">
                              <a:avLst/>
                            </a:prstGeom>
                            <a:noFill/>
                            <a:ln>
                              <a:noFill/>
                            </a:ln>
                          </wps:spPr>
                          <wps:txbx>
                            <w:txbxContent>
                              <w:p w:rsidR="00000000" w:rsidDel="00000000" w:rsidP="00000000" w:rsidRDefault="00000000" w:rsidRPr="00000000">
                                <w:pPr>
                                  <w:spacing w:after="0" w:before="0" w:line="215.9999942779541"/>
                                  <w:ind w:left="450" w:right="0" w:firstLine="390"/>
                                  <w:jc w:val="left"/>
                                  <w:textDirection w:val="btLr"/>
                                </w:pPr>
                                <w:r w:rsidDel="00000000" w:rsidR="00000000" w:rsidRPr="00000000">
                                  <w:rPr>
                                    <w:rFonts w:ascii="Calibri" w:cs="Calibri" w:eastAsia="Calibri" w:hAnsi="Calibri"/>
                                    <w:b w:val="0"/>
                                    <w:i w:val="0"/>
                                    <w:smallCaps w:val="0"/>
                                    <w:strike w:val="0"/>
                                    <w:color w:val="595959"/>
                                    <w:sz w:val="78"/>
                                    <w:vertAlign w:val="baseline"/>
                                  </w:rPr>
                                  <w:t xml:space="preserve">100%</w:t>
                                </w:r>
                              </w:p>
                            </w:txbxContent>
                          </wps:txbx>
                          <wps:bodyPr anchorCtr="0" anchor="t" bIns="49525" lIns="49525" spcFirstLastPara="1" rIns="49525" wrap="square" tIns="148575">
                            <a:noAutofit/>
                          </wps:bodyPr>
                        </wps:wsp>
                        <wps:wsp>
                          <wps:cNvSpPr/>
                          <wps:cNvPr id="16" name="Shape 16"/>
                          <wps:spPr>
                            <a:xfrm>
                              <a:off x="3742738" y="1189361"/>
                              <a:ext cx="1591705" cy="510914"/>
                            </a:xfrm>
                            <a:prstGeom prst="rect">
                              <a:avLst/>
                            </a:prstGeom>
                            <a:solidFill>
                              <a:schemeClr val="accent4"/>
                            </a:solidFill>
                            <a:ln cap="flat" cmpd="sng" w="12700">
                              <a:solidFill>
                                <a:schemeClr val="accent4"/>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7" name="Shape 17"/>
                          <wps:spPr>
                            <a:xfrm>
                              <a:off x="3742738" y="1189361"/>
                              <a:ext cx="1120919" cy="510914"/>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Procedimiento de Entrega REcepción </w:t>
                                </w:r>
                              </w:p>
                            </w:txbxContent>
                          </wps:txbx>
                          <wps:bodyPr anchorCtr="0" anchor="ctr" bIns="0" lIns="45700" spcFirstLastPara="1" rIns="15225" wrap="square" tIns="0">
                            <a:noAutofit/>
                          </wps:bodyPr>
                        </wps:wsp>
                        <wps:wsp>
                          <wps:cNvSpPr/>
                          <wps:cNvPr id="18" name="Shape 18"/>
                          <wps:spPr>
                            <a:xfrm>
                              <a:off x="4908684" y="1270515"/>
                              <a:ext cx="557096" cy="557096"/>
                            </a:xfrm>
                            <a:prstGeom prst="ellipse">
                              <a:avLst/>
                            </a:prstGeom>
                            <a:blipFill rotWithShape="1">
                              <a:blip r:embed="rId7">
                                <a:alphaModFix/>
                              </a:blip>
                              <a:stretch>
                                <a:fillRect b="0" l="-36998" r="-36996" t="0"/>
                              </a:stretch>
                            </a:blipFill>
                            <a:ln cap="flat" cmpd="sng" w="12700">
                              <a:solidFill>
                                <a:srgbClr val="FFE8CA">
                                  <a:alpha val="89803"/>
                                </a:srgbClr>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5486400" cy="1828800"/>
                <wp:effectExtent b="0" l="0" r="0" t="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486400" cy="1828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0">
      <w:pPr>
        <w:spacing w:after="0" w:line="276" w:lineRule="auto"/>
        <w:jc w:val="both"/>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Capacitaciones </w:t>
      </w:r>
    </w:p>
    <w:p w:rsidR="00000000" w:rsidDel="00000000" w:rsidP="00000000" w:rsidRDefault="00000000" w:rsidRPr="00000000" w14:paraId="00000011">
      <w:pPr>
        <w:spacing w:after="0" w:line="276"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2">
      <w:pPr>
        <w:spacing w:after="0"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brindaron capacitaciones a los servidores públicos y en materia de Ética y Conducta.</w:t>
      </w:r>
    </w:p>
    <w:p w:rsidR="00000000" w:rsidDel="00000000" w:rsidP="00000000" w:rsidRDefault="00000000" w:rsidRPr="00000000" w14:paraId="00000013">
      <w:pPr>
        <w:spacing w:after="0" w:line="276" w:lineRule="auto"/>
        <w:jc w:val="both"/>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14">
      <w:pPr>
        <w:spacing w:after="0" w:line="276" w:lineRule="auto"/>
        <w:jc w:val="both"/>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Creación de Normatividad</w:t>
      </w:r>
    </w:p>
    <w:p w:rsidR="00000000" w:rsidDel="00000000" w:rsidP="00000000" w:rsidRDefault="00000000" w:rsidRPr="00000000" w14:paraId="00000015">
      <w:pPr>
        <w:spacing w:after="0" w:line="276"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6">
      <w:pPr>
        <w:spacing w:after="0"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 tratarse de una dependencia con amplias facultades y atribuciones, la ausencia de normatividad interna como lo son los manuales, lineamientos y reglamentos, obstaculizan la aplicación del correcto desarrollo de los procedimientos y actividades, debido a los distintos criterios que se puedan tomar en la toma de decisiones. </w:t>
      </w:r>
    </w:p>
    <w:p w:rsidR="00000000" w:rsidDel="00000000" w:rsidP="00000000" w:rsidRDefault="00000000" w:rsidRPr="00000000" w14:paraId="00000017">
      <w:pPr>
        <w:spacing w:after="0" w:line="27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8">
      <w:pPr>
        <w:spacing w:after="0" w:line="276" w:lineRule="auto"/>
        <w:jc w:val="both"/>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Atención a denuncias ciudadanas </w:t>
      </w:r>
    </w:p>
    <w:p w:rsidR="00000000" w:rsidDel="00000000" w:rsidP="00000000" w:rsidRDefault="00000000" w:rsidRPr="00000000" w14:paraId="00000019">
      <w:pPr>
        <w:spacing w:line="276"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solicitó a la Dirección de Tecnologías de Innovación y Comunicación la creación de un correo electrónico institucional específico para la recepción de denuncias ciudadanas, con la intención de contar con mecanismo de fácil acceso para que la ciudadanía pueda presentar sus denuncias a través de medios digitales.</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4"/>
          <w:szCs w:val="24"/>
        </w:rPr>
      </w:pPr>
      <w:r w:rsidDel="00000000" w:rsidR="00000000" w:rsidRPr="00000000">
        <w:rPr>
          <w:rtl w:val="0"/>
        </w:rPr>
      </w:r>
    </w:p>
    <w:tbl>
      <w:tblPr>
        <w:tblStyle w:val="Table1"/>
        <w:tblW w:w="872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67"/>
        <w:gridCol w:w="1160"/>
        <w:tblGridChange w:id="0">
          <w:tblGrid>
            <w:gridCol w:w="7567"/>
            <w:gridCol w:w="1160"/>
          </w:tblGrid>
        </w:tblGridChange>
      </w:tblGrid>
      <w:tr>
        <w:trPr>
          <w:cantSplit w:val="0"/>
          <w:trHeight w:val="421" w:hRule="atLeast"/>
          <w:tblHeader w:val="0"/>
        </w:trPr>
        <w:tc>
          <w:tcPr>
            <w:shd w:fill="404040" w:val="clear"/>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60" w:line="276" w:lineRule="auto"/>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Seguimiento a Denuncias Ciudadanas</w:t>
            </w:r>
          </w:p>
        </w:tc>
        <w:tc>
          <w:tcPr>
            <w:shd w:fill="404040" w:val="clear"/>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60" w:line="276" w:lineRule="auto"/>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TOTAL</w:t>
            </w:r>
          </w:p>
        </w:tc>
      </w:tr>
      <w:tr>
        <w:trPr>
          <w:cantSplit w:val="0"/>
          <w:trHeight w:val="663" w:hRule="atLeast"/>
          <w:tblHeader w:val="0"/>
        </w:trPr>
        <w:tc>
          <w:tcP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60" w:line="276"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Recibir y registrar las denuncias correspondiente</w:t>
            </w:r>
            <w:r w:rsidDel="00000000" w:rsidR="00000000" w:rsidRPr="00000000">
              <w:rPr>
                <w:rtl w:val="0"/>
              </w:rPr>
            </w:r>
          </w:p>
        </w:tc>
        <w:tc>
          <w:tcP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6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29</w:t>
            </w:r>
          </w:p>
        </w:tc>
      </w:tr>
      <w:tr>
        <w:trPr>
          <w:cantSplit w:val="0"/>
          <w:trHeight w:val="843" w:hRule="atLeast"/>
          <w:tblHeader w:val="0"/>
        </w:trPr>
        <w:tc>
          <w:tcPr>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160" w:line="276"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Investigaciones administrativas para determinar la existencia o no de faltas administrativas.</w:t>
            </w:r>
            <w:r w:rsidDel="00000000" w:rsidR="00000000" w:rsidRPr="00000000">
              <w:rPr>
                <w:rtl w:val="0"/>
              </w:rPr>
            </w:r>
          </w:p>
        </w:tc>
        <w:tc>
          <w:tcPr>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16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16</w:t>
            </w:r>
          </w:p>
        </w:tc>
      </w:tr>
      <w:tr>
        <w:trPr>
          <w:cantSplit w:val="0"/>
          <w:trHeight w:val="558" w:hRule="atLeast"/>
          <w:tblHeader w:val="0"/>
        </w:trPr>
        <w:tc>
          <w:tcPr>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160"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Registro de ingresos</w:t>
            </w:r>
          </w:p>
        </w:tc>
        <w:tc>
          <w:tcPr>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60" w:line="276" w:lineRule="auto"/>
              <w:jc w:val="center"/>
              <w:rPr>
                <w:rFonts w:ascii="Arial" w:cs="Arial" w:eastAsia="Arial" w:hAnsi="Arial"/>
                <w:color w:val="000000"/>
                <w:sz w:val="24"/>
                <w:szCs w:val="24"/>
              </w:rPr>
            </w:pPr>
            <w:bookmarkStart w:colFirst="0" w:colLast="0" w:name="_heading=h.gjdgxs" w:id="0"/>
            <w:bookmarkEnd w:id="0"/>
            <w:r w:rsidDel="00000000" w:rsidR="00000000" w:rsidRPr="00000000">
              <w:rPr>
                <w:rFonts w:ascii="Arial" w:cs="Arial" w:eastAsia="Arial" w:hAnsi="Arial"/>
                <w:color w:val="000000"/>
                <w:sz w:val="24"/>
                <w:szCs w:val="24"/>
                <w:rtl w:val="0"/>
              </w:rPr>
              <w:t xml:space="preserve">6</w:t>
            </w:r>
          </w:p>
        </w:tc>
      </w:tr>
      <w:tr>
        <w:trPr>
          <w:cantSplit w:val="0"/>
          <w:trHeight w:val="44" w:hRule="atLeast"/>
          <w:tblHeader w:val="0"/>
        </w:trPr>
        <w:tc>
          <w:tcPr>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160"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Auditorias</w:t>
            </w:r>
          </w:p>
        </w:tc>
        <w:tc>
          <w:tcPr>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6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w:t>
            </w:r>
          </w:p>
        </w:tc>
      </w:tr>
    </w:tbl>
    <w:p w:rsidR="00000000" w:rsidDel="00000000" w:rsidP="00000000" w:rsidRDefault="00000000" w:rsidRPr="00000000" w14:paraId="00000026">
      <w:pPr>
        <w:spacing w:line="276" w:lineRule="auto"/>
        <w:jc w:val="both"/>
        <w:rPr>
          <w:rFonts w:ascii="Arial" w:cs="Arial" w:eastAsia="Arial" w:hAnsi="Arial"/>
          <w:color w:val="595959"/>
          <w:sz w:val="24"/>
          <w:szCs w:val="24"/>
        </w:rPr>
      </w:pPr>
      <w:bookmarkStart w:colFirst="0" w:colLast="0" w:name="_heading=h.30j0zll" w:id="1"/>
      <w:bookmarkEnd w:id="1"/>
      <w:r w:rsidDel="00000000" w:rsidR="00000000" w:rsidRPr="00000000">
        <w:rPr>
          <w:rtl w:val="0"/>
        </w:rPr>
      </w:r>
    </w:p>
    <w:sectPr>
      <w:headerReference r:id="rId9" w:type="default"/>
      <w:footerReference r:id="rId10"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1"/>
        <w:i w:val="0"/>
        <w:smallCaps w:val="0"/>
        <w:strike w:val="0"/>
        <w:color w:val="ed7d31"/>
        <w:sz w:val="22"/>
        <w:szCs w:val="22"/>
        <w:u w:val="none"/>
        <w:shd w:fill="auto" w:val="clear"/>
        <w:vertAlign w:val="baseline"/>
      </w:rPr>
    </w:pPr>
    <w:r w:rsidDel="00000000" w:rsidR="00000000" w:rsidRPr="00000000">
      <w:rPr>
        <w:rFonts w:ascii="Calibri" w:cs="Calibri" w:eastAsia="Calibri" w:hAnsi="Calibri"/>
        <w:b w:val="1"/>
        <w:i w:val="0"/>
        <w:smallCaps w:val="0"/>
        <w:strike w:val="0"/>
        <w:color w:val="ed7d31"/>
        <w:sz w:val="22"/>
        <w:szCs w:val="22"/>
        <w:u w:val="none"/>
        <w:shd w:fill="auto" w:val="clear"/>
        <w:vertAlign w:val="baseline"/>
        <w:rtl w:val="0"/>
      </w:rPr>
      <w:t xml:space="preserve">DIRECCIÓN DE PLANEACIÓN Y EVALUACIÓN </w:t>
    </w:r>
    <w:r w:rsidDel="00000000" w:rsidR="00000000" w:rsidRPr="00000000">
      <w:drawing>
        <wp:anchor allowOverlap="1" behindDoc="1" distB="0" distT="0" distL="0" distR="0" hidden="0" layoutInCell="1" locked="0" relativeHeight="0" simplePos="0">
          <wp:simplePos x="0" y="0"/>
          <wp:positionH relativeFrom="column">
            <wp:posOffset>1520005</wp:posOffset>
          </wp:positionH>
          <wp:positionV relativeFrom="paragraph">
            <wp:posOffset>-71028</wp:posOffset>
          </wp:positionV>
          <wp:extent cx="1562735" cy="395719"/>
          <wp:effectExtent b="0" l="0" r="0" t="0"/>
          <wp:wrapNone/>
          <wp:docPr descr="C:\Users\Lenovo\Downloads\WhatsAppImage2022-01-12at12.53.47PM.jpeg" id="4" name="image1.jpg"/>
          <a:graphic>
            <a:graphicData uri="http://schemas.openxmlformats.org/drawingml/2006/picture">
              <pic:pic>
                <pic:nvPicPr>
                  <pic:cNvPr descr="C:\Users\Lenovo\Downloads\WhatsAppImage2022-01-12at12.53.47PM.jpeg" id="0" name="image1.jpg"/>
                  <pic:cNvPicPr preferRelativeResize="0"/>
                </pic:nvPicPr>
                <pic:blipFill>
                  <a:blip r:embed="rId1"/>
                  <a:srcRect b="0" l="0" r="0" t="66478"/>
                  <a:stretch>
                    <a:fillRect/>
                  </a:stretch>
                </pic:blipFill>
                <pic:spPr>
                  <a:xfrm>
                    <a:off x="0" y="0"/>
                    <a:ext cx="1562735" cy="395719"/>
                  </a:xfrm>
                  <a:prstGeom prst="rect"/>
                  <a:ln/>
                </pic:spPr>
              </pic:pic>
            </a:graphicData>
          </a:graphic>
        </wp:anchor>
      </w:drawing>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tabs>
        <w:tab w:val="center" w:pos="4419"/>
        <w:tab w:val="right" w:pos="8838"/>
      </w:tabs>
      <w:spacing w:after="0" w:line="240" w:lineRule="auto"/>
      <w:rPr/>
    </w:pPr>
    <w:r w:rsidDel="00000000" w:rsidR="00000000" w:rsidRPr="00000000">
      <w:rPr>
        <w:sz w:val="26"/>
        <w:szCs w:val="26"/>
        <w:rtl w:val="0"/>
      </w:rPr>
      <w:t xml:space="preserve">Resumen Anual 2022</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4953000</wp:posOffset>
          </wp:positionH>
          <wp:positionV relativeFrom="paragraph">
            <wp:posOffset>-304799</wp:posOffset>
          </wp:positionV>
          <wp:extent cx="1562735" cy="573156"/>
          <wp:effectExtent b="0" l="0" r="0" t="0"/>
          <wp:wrapNone/>
          <wp:docPr descr="C:\Users\Lenovo\Downloads\WhatsAppImage2022-01-12at12.53.47PM.jpeg" id="5" name="image2.jpg"/>
          <a:graphic>
            <a:graphicData uri="http://schemas.openxmlformats.org/drawingml/2006/picture">
              <pic:pic>
                <pic:nvPicPr>
                  <pic:cNvPr descr="C:\Users\Lenovo\Downloads\WhatsAppImage2022-01-12at12.53.47PM.jpeg" id="0" name="image2.jpg"/>
                  <pic:cNvPicPr preferRelativeResize="0"/>
                </pic:nvPicPr>
                <pic:blipFill>
                  <a:blip r:embed="rId1"/>
                  <a:srcRect b="36989" l="0" r="0" t="14456"/>
                  <a:stretch>
                    <a:fillRect/>
                  </a:stretch>
                </pic:blipFill>
                <pic:spPr>
                  <a:xfrm>
                    <a:off x="0" y="0"/>
                    <a:ext cx="1562735" cy="57315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NormalWeb">
    <w:name w:val="Normal (Web)"/>
    <w:basedOn w:val="Normal"/>
    <w:uiPriority w:val="99"/>
    <w:semiHidden w:val="1"/>
    <w:unhideWhenUsed w:val="1"/>
    <w:rsid w:val="003A3F05"/>
    <w:pPr>
      <w:spacing w:after="100" w:afterAutospacing="1" w:before="100" w:beforeAutospacing="1" w:line="240" w:lineRule="auto"/>
    </w:pPr>
    <w:rPr>
      <w:rFonts w:ascii="Times New Roman" w:cs="Times New Roman" w:eastAsia="Times New Roman" w:hAnsi="Times New Roman"/>
      <w:sz w:val="24"/>
      <w:szCs w:val="24"/>
    </w:rPr>
  </w:style>
  <w:style w:type="table" w:styleId="Tablaconcuadrcula">
    <w:name w:val="Table Grid"/>
    <w:basedOn w:val="Tablanormal"/>
    <w:uiPriority w:val="39"/>
    <w:rsid w:val="003A3F0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08.0" w:type="dxa"/>
        <w:right w:w="108.0" w:type="dxa"/>
      </w:tblCellMar>
    </w:tblPr>
  </w:style>
  <w:style w:type="paragraph" w:styleId="Encabezado">
    <w:name w:val="header"/>
    <w:basedOn w:val="Normal"/>
    <w:link w:val="EncabezadoCar"/>
    <w:uiPriority w:val="99"/>
    <w:unhideWhenUsed w:val="1"/>
    <w:rsid w:val="00F4434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4349"/>
  </w:style>
  <w:style w:type="paragraph" w:styleId="Piedepgina">
    <w:name w:val="footer"/>
    <w:basedOn w:val="Normal"/>
    <w:link w:val="PiedepginaCar"/>
    <w:uiPriority w:val="99"/>
    <w:unhideWhenUsed w:val="1"/>
    <w:rsid w:val="00F4434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434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ZAMo6HKzSCA+3B4DT95zouOH/g==">AMUW2mUYYcgDH/4/J1Ey3BXRH6xAW7LDOrHhSHz2pJkb5XG3BW3UxfwdxTVYJegv1ZYqaX1Ng0ckqYikeJ11EdNGcM3UaC/nc/NCDm2PF0I5fO1GQNDu+u6o+2wUEc4xOGhdekmglGrw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2022-08-04T16:26:00Z</dcterms:created>
  <dc:creator>Marlene</dc:creator>
</cp:coreProperties>
</file>