
<file path=[Content_Types].xml><?xml version="1.0" encoding="utf-8"?>
<Types xmlns="http://schemas.openxmlformats.org/package/2006/content-types">
  <Default ContentType="image/jpeg" Extension="jpg"/>
  <Default ContentType="application/vnd.openxmlformats-officedocument.spreadsheetml.sheet" Extension="xlsx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ms-office.chartcolorstyle+xml" PartName="/word/charts/colors1.xml"/>
  <Override ContentType="application/vnd.openxmlformats-officedocument.drawingml.chart+xml" PartName="/word/charts/chart1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ms-office.chartstyle+xml" PartName="/word/charts/style1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DIRECCIÓN DE PATRIMONIO MUNICIPAL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Jefatura de bienes muebles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Jefatura de bienes inmuebles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Jefatura de control vehicular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left="360" w:firstLine="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Se cuenta con el inventario de bienes propiedad Municipal, debidamente actualizado.</w:t>
      </w:r>
    </w:p>
    <w:p w:rsidR="00000000" w:rsidDel="00000000" w:rsidP="00000000" w:rsidRDefault="00000000" w:rsidRPr="00000000" w14:paraId="00000006">
      <w:pPr>
        <w:spacing w:line="276" w:lineRule="auto"/>
        <w:ind w:left="360" w:firstLine="0"/>
        <w:jc w:val="both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Declaratoria de baja y enajenación de bienes muebles, como resultado es aprobada mediante el pleno la baja de 42 vehículos propiedad del municipio.</w:t>
      </w:r>
    </w:p>
    <w:p w:rsidR="00000000" w:rsidDel="00000000" w:rsidP="00000000" w:rsidRDefault="00000000" w:rsidRPr="00000000" w14:paraId="00000007">
      <w:pPr>
        <w:spacing w:line="276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Actualización de los inventarios existentes.</w:t>
      </w:r>
    </w:p>
    <w:p w:rsidR="00000000" w:rsidDel="00000000" w:rsidP="00000000" w:rsidRDefault="00000000" w:rsidRPr="00000000" w14:paraId="00000008">
      <w:pPr>
        <w:spacing w:line="276" w:lineRule="auto"/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Clasificación de altas de bienes muebles.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40404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02.0" w:type="dxa"/>
        <w:jc w:val="left"/>
        <w:tblLayout w:type="fixed"/>
        <w:tblLook w:val="0400"/>
      </w:tblPr>
      <w:tblGrid>
        <w:gridCol w:w="5486"/>
        <w:gridCol w:w="2616"/>
        <w:tblGridChange w:id="0">
          <w:tblGrid>
            <w:gridCol w:w="5486"/>
            <w:gridCol w:w="2616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Dirección de Patrimonio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Altas de bienes inmuebles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119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Altas de bienes muebles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779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Bajas de bienes inmuebles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230</w:t>
            </w:r>
          </w:p>
        </w:tc>
      </w:tr>
    </w:tbl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b w:val="1"/>
          <w:color w:val="40404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color w:val="40404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color w:val="404040"/>
          <w:sz w:val="6"/>
          <w:szCs w:val="6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</w:rPr>
        <w:drawing>
          <wp:inline distB="0" distT="0" distL="0" distR="0">
            <wp:extent cx="5252085" cy="3124200"/>
            <wp:docPr id="171" name=""/>
            <a:graphic>
              <a:graphicData uri="http://schemas.openxmlformats.org/drawingml/2006/chart">
                <c:chart r:id="rId7"/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La jefatura de control vehicular vigila el correcto funcionamiento de los vehículos de uso exclusivo para el trabajo.</w:t>
      </w:r>
    </w:p>
    <w:tbl>
      <w:tblPr>
        <w:tblStyle w:val="Table2"/>
        <w:tblW w:w="8521.0" w:type="dxa"/>
        <w:jc w:val="left"/>
        <w:tblLayout w:type="fixed"/>
        <w:tblLook w:val="0400"/>
      </w:tblPr>
      <w:tblGrid>
        <w:gridCol w:w="5770"/>
        <w:gridCol w:w="2751"/>
        <w:tblGridChange w:id="0">
          <w:tblGrid>
            <w:gridCol w:w="5770"/>
            <w:gridCol w:w="2751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Jefatura de Control Vehicular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Reparaciones realizadas a vehículos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1,130</w:t>
            </w:r>
          </w:p>
        </w:tc>
      </w:tr>
    </w:tbl>
    <w:p w:rsidR="00000000" w:rsidDel="00000000" w:rsidP="00000000" w:rsidRDefault="00000000" w:rsidRPr="00000000" w14:paraId="0000001C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DIRECCIÓN DE TECNOLOGÍAS DE INNOVACIÓN Y COMUNICACIÓN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Jefatura de Sistemas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Jefatura de Telecomunicaciones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Eficientar la comunicación entre las áreas que conforman la administración pública municipal.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Crear y desarrollar sistemas tecnológicos para el buen funcionamiento de la administración pública.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Crear el sistema de votación para Presupuesto Participativo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"MiSaltoGob" reloj para ingreso de entrada de empleados por aplicación móvil ubicado en puntos estratégicos de los edificios de gobierno.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</w:rPr>
        <mc:AlternateContent>
          <mc:Choice Requires="wpg">
            <w:drawing>
              <wp:inline distB="0" distT="0" distL="0" distR="0">
                <wp:extent cx="5894070" cy="4178105"/>
                <wp:effectExtent b="0" l="0" r="0" t="0"/>
                <wp:docPr id="17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070" cy="4178105"/>
                          <a:chOff x="0" y="0"/>
                          <a:chExt cx="5899750" cy="4182825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894050" cy="4178100"/>
                            <a:chOff x="0" y="0"/>
                            <a:chExt cx="5894050" cy="41781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894050" cy="4178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676" y="1649"/>
                              <a:ext cx="5892717" cy="1321978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3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5" name="Shape 5"/>
                          <wps:spPr>
                            <a:xfrm>
                              <a:off x="39395" y="40368"/>
                              <a:ext cx="5815279" cy="1244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70"/>
                                    <w:vertAlign w:val="baseline"/>
                                  </w:rPr>
                                  <w:t xml:space="preserve">Instalación de nuevos equipos 60</w:t>
                                </w:r>
                              </w:p>
                            </w:txbxContent>
                          </wps:txbx>
                          <wps:bodyPr anchorCtr="0" anchor="ctr" bIns="133350" lIns="133350" spcFirstLastPara="1" rIns="133350" wrap="square" tIns="13335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676" y="1428063"/>
                              <a:ext cx="3849305" cy="1321978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372C3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7" name="Shape 7"/>
                          <wps:spPr>
                            <a:xfrm>
                              <a:off x="39395" y="1466782"/>
                              <a:ext cx="3771867" cy="1244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50"/>
                                    <w:vertAlign w:val="baseline"/>
                                  </w:rPr>
                                  <w:t xml:space="preserve">Instalación de líneas telefonicas  35</w:t>
                                </w:r>
                              </w:p>
                            </w:txbxContent>
                          </wps:txbx>
                          <wps:bodyPr anchorCtr="0" anchor="ctr" bIns="95250" lIns="95250" spcFirstLastPara="1" rIns="95250" wrap="square" tIns="9525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76" y="2854477"/>
                              <a:ext cx="1885066" cy="1321978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6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9" name="Shape 9"/>
                          <wps:spPr>
                            <a:xfrm>
                              <a:off x="39395" y="2893196"/>
                              <a:ext cx="1807628" cy="1244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4"/>
                                    <w:vertAlign w:val="baseline"/>
                                  </w:rPr>
                                  <w:t xml:space="preserve">Reparación de impresoras 362</w:t>
                                </w:r>
                              </w:p>
                            </w:txbxContent>
                          </wps:txbx>
                          <wps:bodyPr anchorCtr="0" anchor="ctr" bIns="83800" lIns="83800" spcFirstLastPara="1" rIns="83800" wrap="square" tIns="8380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964915" y="2854477"/>
                              <a:ext cx="1885066" cy="1321978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6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1" name="Shape 11"/>
                          <wps:spPr>
                            <a:xfrm>
                              <a:off x="2003634" y="2893196"/>
                              <a:ext cx="1807628" cy="1244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4"/>
                                    <w:vertAlign w:val="baseline"/>
                                  </w:rPr>
                                  <w:t xml:space="preserve">Reparación de líneas telefonicas 42</w:t>
                                </w:r>
                              </w:p>
                            </w:txbxContent>
                          </wps:txbx>
                          <wps:bodyPr anchorCtr="0" anchor="ctr" bIns="83800" lIns="83800" spcFirstLastPara="1" rIns="83800" wrap="square" tIns="83800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008327" y="1428063"/>
                              <a:ext cx="1885066" cy="1321978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rgbClr val="4372C3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3" name="Shape 13"/>
                          <wps:spPr>
                            <a:xfrm>
                              <a:off x="4047046" y="1466782"/>
                              <a:ext cx="1807628" cy="1244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50"/>
                                    <w:vertAlign w:val="baseline"/>
                                  </w:rPr>
                                  <w:t xml:space="preserve">Habilitación de Internet 185</w:t>
                                </w:r>
                              </w:p>
                            </w:txbxContent>
                          </wps:txbx>
                          <wps:bodyPr anchorCtr="0" anchor="ctr" bIns="95250" lIns="95250" spcFirstLastPara="1" rIns="95250" wrap="square" tIns="95250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008327" y="2854477"/>
                              <a:ext cx="1885066" cy="1321978"/>
                            </a:xfrm>
                            <a:prstGeom prst="roundRect">
                              <a:avLst>
                                <a:gd fmla="val 10000" name="adj"/>
                              </a:avLst>
                            </a:prstGeom>
                            <a:solidFill>
                              <a:schemeClr val="accent6"/>
                            </a:solid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5" name="Shape 15"/>
                          <wps:spPr>
                            <a:xfrm>
                              <a:off x="4047046" y="2893196"/>
                              <a:ext cx="1807628" cy="1244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4"/>
                                    <w:vertAlign w:val="baseline"/>
                                  </w:rPr>
                                  <w:t xml:space="preserve">Reparación de equipos de computo  104</w:t>
                                </w:r>
                              </w:p>
                            </w:txbxContent>
                          </wps:txbx>
                          <wps:bodyPr anchorCtr="0" anchor="ctr" bIns="83800" lIns="83800" spcFirstLastPara="1" rIns="83800" wrap="square" tIns="838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894070" cy="4178105"/>
                <wp:effectExtent b="0" l="0" r="0" t="0"/>
                <wp:docPr id="17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4070" cy="41781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DIRECCIÓN DE ADMINISTRACIÓN</w:t>
      </w:r>
    </w:p>
    <w:tbl>
      <w:tblPr>
        <w:tblStyle w:val="Table3"/>
        <w:tblW w:w="8610.0" w:type="dxa"/>
        <w:jc w:val="left"/>
        <w:tblLayout w:type="fixed"/>
        <w:tblLook w:val="04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rHeight w:val="782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Elaboración y proyección del reacomodo de las distintas dependencias para optimizar los espacios disponibles para oficina.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Control de inventarios de insumos y distribución para la limpieza de oficinas.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Análisis y reubicación del personal existente para eficiente servicio </w:t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JEFATURA DE MANTENIMIENTO INTERNO</w:t>
      </w:r>
    </w:p>
    <w:p w:rsidR="00000000" w:rsidDel="00000000" w:rsidP="00000000" w:rsidRDefault="00000000" w:rsidRPr="00000000" w14:paraId="00000047">
      <w:pPr>
        <w:jc w:val="both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Levantamiento del estado actual que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guardan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los edificios con la finalidad de iniciar un plan de intervención.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Arial" w:cs="Arial" w:eastAsia="Arial" w:hAnsi="Arial"/>
          <w:b w:val="1"/>
          <w:color w:val="40404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35.0" w:type="dxa"/>
        <w:jc w:val="left"/>
        <w:tblLayout w:type="fixed"/>
        <w:tblLook w:val="0400"/>
      </w:tblPr>
      <w:tblGrid>
        <w:gridCol w:w="6112"/>
        <w:gridCol w:w="2623"/>
        <w:tblGridChange w:id="0">
          <w:tblGrid>
            <w:gridCol w:w="6112"/>
            <w:gridCol w:w="2623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Actividades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404040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Arial" w:cs="Arial" w:eastAsia="Arial" w:hAnsi="Arial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24"/>
                <w:szCs w:val="24"/>
                <w:rtl w:val="0"/>
              </w:rPr>
              <w:t xml:space="preserve">Total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Servicios de fontanería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134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Servicios de electricidad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237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Servicios de cerrajería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Servicios de pintura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132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543550" cy="3547449"/>
            <wp:effectExtent b="0" l="0" r="0" t="0"/>
            <wp:docPr id="17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547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DIRECCIÓN DE ADQUISICIONES</w:t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66"/>
        <w:gridCol w:w="4265"/>
        <w:tblGridChange w:id="0">
          <w:tblGrid>
            <w:gridCol w:w="4766"/>
            <w:gridCol w:w="4265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Actividad/Acción</w:t>
            </w:r>
          </w:p>
        </w:tc>
        <w:tc>
          <w:tcPr>
            <w:shd w:fill="7f7f7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Resultado cuantitativo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Actualización de registro de proveedores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100%</w:t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Alta de seguro Vehicular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100%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Registro de facturas al Sistema Tauro y Compac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100%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Optimización de procesos internos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100%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Requisiciones para dotar de los recursos materiales necesarios a las áreas administrativas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2,822</w:t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rFonts w:ascii="Arial" w:cs="Arial" w:eastAsia="Arial" w:hAnsi="Arial"/>
          <w:b w:val="1"/>
          <w:color w:val="40404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4"/>
          <w:szCs w:val="24"/>
          <w:rtl w:val="0"/>
        </w:rPr>
        <w:t xml:space="preserve">JEFATURA DE MEJORA REGULATORIA</w:t>
      </w:r>
    </w:p>
    <w:p w:rsidR="00000000" w:rsidDel="00000000" w:rsidP="00000000" w:rsidRDefault="00000000" w:rsidRPr="00000000" w14:paraId="00000064">
      <w:pPr>
        <w:jc w:val="center"/>
        <w:rPr>
          <w:rFonts w:ascii="Arial" w:cs="Arial" w:eastAsia="Arial" w:hAnsi="Arial"/>
          <w:b w:val="1"/>
          <w:color w:val="404040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20.0" w:type="dxa"/>
        <w:jc w:val="left"/>
        <w:tblLayout w:type="fixed"/>
        <w:tblLook w:val="0400"/>
      </w:tblPr>
      <w:tblGrid>
        <w:gridCol w:w="8620"/>
        <w:tblGridChange w:id="0">
          <w:tblGrid>
            <w:gridCol w:w="8620"/>
          </w:tblGrid>
        </w:tblGridChange>
      </w:tblGrid>
      <w:tr>
        <w:trPr>
          <w:cantSplit w:val="0"/>
          <w:trHeight w:val="771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Proceso para renovar la certificación SARE, emitido por la CONAMER  </w:t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Proceso para la obtención del certificado VECS (Ventanilla de construcción simplificada) </w:t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Creación del reglamento de Mejora Regulatoria, que fue presentado ante la Comisión Edilicia de Reglamentos.</w:t>
            </w:r>
          </w:p>
        </w:tc>
      </w:tr>
      <w:tr>
        <w:trPr>
          <w:cantSplit w:val="0"/>
          <w:trHeight w:val="681" w:hRule="atLeast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 alcanzó un 80 % en la actualización del catálogo de trámites y servicios.</w:t>
            </w:r>
          </w:p>
        </w:tc>
      </w:tr>
    </w:tbl>
    <w:p w:rsidR="00000000" w:rsidDel="00000000" w:rsidP="00000000" w:rsidRDefault="00000000" w:rsidRPr="00000000" w14:paraId="00000069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ed7d3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ed7d31"/>
        <w:sz w:val="22"/>
        <w:szCs w:val="22"/>
        <w:u w:val="none"/>
        <w:shd w:fill="auto" w:val="clear"/>
        <w:vertAlign w:val="baseline"/>
        <w:rtl w:val="0"/>
      </w:rPr>
      <w:t xml:space="preserve">DIRECCIÓN DE PLANEACIÓN Y EVALUACIÓN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1738629</wp:posOffset>
          </wp:positionH>
          <wp:positionV relativeFrom="paragraph">
            <wp:posOffset>-22859</wp:posOffset>
          </wp:positionV>
          <wp:extent cx="1562735" cy="395719"/>
          <wp:effectExtent b="0" l="0" r="0" t="0"/>
          <wp:wrapNone/>
          <wp:docPr descr="C:\Users\Lenovo\Downloads\WhatsAppImage2022-01-12at12.53.47PM.jpeg" id="176" name="image2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2.jpg"/>
                  <pic:cNvPicPr preferRelativeResize="0"/>
                </pic:nvPicPr>
                <pic:blipFill>
                  <a:blip r:embed="rId1"/>
                  <a:srcRect b="0" l="0" r="0" t="66478"/>
                  <a:stretch>
                    <a:fillRect/>
                  </a:stretch>
                </pic:blipFill>
                <pic:spPr>
                  <a:xfrm>
                    <a:off x="0" y="0"/>
                    <a:ext cx="1562735" cy="39571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b w:val="1"/>
        <w:color w:val="404040"/>
        <w:sz w:val="28"/>
        <w:szCs w:val="28"/>
      </w:rPr>
    </w:pPr>
    <w:r w:rsidDel="00000000" w:rsidR="00000000" w:rsidRPr="00000000">
      <w:rPr>
        <w:b w:val="1"/>
        <w:color w:val="404040"/>
        <w:sz w:val="28"/>
        <w:szCs w:val="28"/>
        <w:rtl w:val="0"/>
      </w:rPr>
      <w:t xml:space="preserve">Coordinación General de Administración e Innovación Gubernamental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6445123</wp:posOffset>
          </wp:positionH>
          <wp:positionV relativeFrom="paragraph">
            <wp:posOffset>-92455</wp:posOffset>
          </wp:positionV>
          <wp:extent cx="1809728" cy="716096"/>
          <wp:effectExtent b="0" l="0" r="0" t="0"/>
          <wp:wrapNone/>
          <wp:docPr id="17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09728" cy="71609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5095875</wp:posOffset>
          </wp:positionH>
          <wp:positionV relativeFrom="paragraph">
            <wp:posOffset>-238124</wp:posOffset>
          </wp:positionV>
          <wp:extent cx="1562735" cy="573156"/>
          <wp:effectExtent b="0" l="0" r="0" t="0"/>
          <wp:wrapNone/>
          <wp:docPr descr="C:\Users\Lenovo\Downloads\WhatsAppImage2022-01-12at12.53.47PM.jpeg" id="174" name="image3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3.jpg"/>
                  <pic:cNvPicPr preferRelativeResize="0"/>
                </pic:nvPicPr>
                <pic:blipFill>
                  <a:blip r:embed="rId2"/>
                  <a:srcRect b="36989" l="0" r="0" t="14456"/>
                  <a:stretch>
                    <a:fillRect/>
                  </a:stretch>
                </pic:blipFill>
                <pic:spPr>
                  <a:xfrm>
                    <a:off x="0" y="0"/>
                    <a:ext cx="1562735" cy="5731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color w:val="404040"/>
        <w:sz w:val="28"/>
        <w:szCs w:val="28"/>
      </w:rPr>
    </w:pPr>
    <w:r w:rsidDel="00000000" w:rsidR="00000000" w:rsidRPr="00000000">
      <w:rPr>
        <w:color w:val="404040"/>
        <w:sz w:val="28"/>
        <w:szCs w:val="28"/>
        <w:rtl w:val="0"/>
      </w:rPr>
      <w:t xml:space="preserve">Resumen Anual 2022</w:t>
    </w:r>
  </w:p>
  <w:p w:rsidR="00000000" w:rsidDel="00000000" w:rsidP="00000000" w:rsidRDefault="00000000" w:rsidRPr="00000000" w14:paraId="0000006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>
        <w:color w:val="40404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" w:cs="Noto Sans" w:eastAsia="Noto Sans" w:hAnsi="Noto Sans"/>
        <w:sz w:val="20"/>
        <w:szCs w:val="2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0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  <w:sz w:val="20"/>
        <w:szCs w:val="20"/>
      </w:rPr>
    </w:lvl>
    <w:lvl w:ilvl="3">
      <w:start w:val="0"/>
      <w:numFmt w:val="bullet"/>
      <w:lvlText w:val="▪"/>
      <w:lvlJc w:val="left"/>
      <w:pPr>
        <w:ind w:left="2880" w:hanging="360"/>
      </w:pPr>
      <w:rPr>
        <w:rFonts w:ascii="Noto Sans" w:cs="Noto Sans" w:eastAsia="Noto Sans" w:hAnsi="Noto Sans"/>
        <w:sz w:val="20"/>
        <w:szCs w:val="20"/>
      </w:rPr>
    </w:lvl>
    <w:lvl w:ilvl="4">
      <w:start w:val="0"/>
      <w:numFmt w:val="bullet"/>
      <w:lvlText w:val="▪"/>
      <w:lvlJc w:val="left"/>
      <w:pPr>
        <w:ind w:left="3600" w:hanging="360"/>
      </w:pPr>
      <w:rPr>
        <w:rFonts w:ascii="Noto Sans" w:cs="Noto Sans" w:eastAsia="Noto Sans" w:hAnsi="Noto Sans"/>
        <w:sz w:val="20"/>
        <w:szCs w:val="20"/>
      </w:rPr>
    </w:lvl>
    <w:lvl w:ilvl="5">
      <w:start w:val="0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  <w:sz w:val="20"/>
        <w:szCs w:val="20"/>
      </w:rPr>
    </w:lvl>
    <w:lvl w:ilvl="6">
      <w:start w:val="0"/>
      <w:numFmt w:val="bullet"/>
      <w:lvlText w:val="▪"/>
      <w:lvlJc w:val="left"/>
      <w:pPr>
        <w:ind w:left="5040" w:hanging="360"/>
      </w:pPr>
      <w:rPr>
        <w:rFonts w:ascii="Noto Sans" w:cs="Noto Sans" w:eastAsia="Noto Sans" w:hAnsi="Noto Sans"/>
        <w:sz w:val="20"/>
        <w:szCs w:val="20"/>
      </w:rPr>
    </w:lvl>
    <w:lvl w:ilvl="7">
      <w:start w:val="0"/>
      <w:numFmt w:val="bullet"/>
      <w:lvlText w:val="▪"/>
      <w:lvlJc w:val="left"/>
      <w:pPr>
        <w:ind w:left="5760" w:hanging="360"/>
      </w:pPr>
      <w:rPr>
        <w:rFonts w:ascii="Noto Sans" w:cs="Noto Sans" w:eastAsia="Noto Sans" w:hAnsi="Noto Sans"/>
        <w:sz w:val="20"/>
        <w:szCs w:val="20"/>
      </w:rPr>
    </w:lvl>
    <w:lvl w:ilvl="8">
      <w:start w:val="0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A715B"/>
  </w:style>
  <w:style w:type="paragraph" w:styleId="Piedepgina">
    <w:name w:val="footer"/>
    <w:basedOn w:val="Normal"/>
    <w:link w:val="PiedepginaCar"/>
    <w:uiPriority w:val="99"/>
    <w:unhideWhenUsed w:val="1"/>
    <w:rsid w:val="00BA715B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A715B"/>
  </w:style>
  <w:style w:type="paragraph" w:styleId="Prrafodelista">
    <w:name w:val="List Paragraph"/>
    <w:basedOn w:val="Normal"/>
    <w:uiPriority w:val="34"/>
    <w:qFormat w:val="1"/>
    <w:rsid w:val="00BA715B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1504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030F0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08.0" w:type="dxa"/>
        <w:bottom w:w="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chart" Target="charts/chart1.xm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jpg"/></Relationships>
</file>

<file path=word/charts/_rels/chart1.xml.rels><?xml version="1.0" encoding="UTF-8" standalone="yes"?>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/>
              <a:t>Dirección de Patrimonio Municipal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strRef>
              <c:f>Hoja1!$A$2:$A$4</c:f>
              <c:strCache>
                <c:ptCount val="3"/>
                <c:pt idx="0">
                  <c:v>Altas de bienes inmuebles</c:v>
                </c:pt>
                <c:pt idx="1">
                  <c:v>Altas de bienes muebles </c:v>
                </c:pt>
                <c:pt idx="2">
                  <c:v>Bajas de bienes inmuebles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119</c:v>
                </c:pt>
                <c:pt idx="1">
                  <c:v>779</c:v>
                </c:pt>
                <c:pt idx="2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D-43A3-B8DA-77E9A620E1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02804528"/>
        <c:axId val="1502813264"/>
      </c:barChart>
      <c:catAx>
        <c:axId val="1502804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02813264"/>
        <c:crosses val="autoZero"/>
        <c:auto val="1"/>
        <c:lblAlgn val="ctr"/>
        <c:lblOffset val="100"/>
        <c:noMultiLvlLbl val="0"/>
      </c:catAx>
      <c:valAx>
        <c:axId val="15028132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0280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NIPqhPM7nFKHgfPUmCsdFZ1BA==">AMUW2mW29zwhJgqoHTN9Bvatob+MFAiimQ85uYbp7+4nFaK+YKO258Rnu/tqz0YWuknv/B5bZ+5Jv6zWfWRfKUQuYHWvMrfZD01+UB1sxFjNKyMn2kPReGg=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2022-04-13T22:59:00Z</dcterms:created>
  <dc:creator>Lenovo</dc:creator>
</cp:coreProperties>
</file>