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ms-office.chartcolorstyle+xml" PartName="/word/charts/colors6.xml"/>
  <Override ContentType="application/vnd.ms-office.chartcolorstyle+xml" PartName="/word/charts/colors5.xml"/>
  <Override ContentType="application/vnd.ms-office.chartcolorstyle+xml" PartName="/word/charts/colors7.xml"/>
  <Override ContentType="application/vnd.ms-office.chartcolorstyle+xml" PartName="/word/charts/colors3.xml"/>
  <Override ContentType="application/vnd.ms-office.chartcolorstyle+xml" PartName="/word/charts/colors4.xml"/>
  <Override ContentType="application/vnd.ms-office.chartcolorstyle+xml" PartName="/word/charts/colors2.xml"/>
  <Override ContentType="application/vnd.ms-office.chartcolorstyle+xml" PartName="/word/charts/colors1.xml"/>
  <Override ContentType="application/vnd.openxmlformats-officedocument.drawingml.chart+xml" PartName="/word/charts/chart6.xml"/>
  <Override ContentType="application/vnd.openxmlformats-officedocument.drawingml.chart+xml" PartName="/word/charts/chart1.xml"/>
  <Override ContentType="application/vnd.openxmlformats-officedocument.drawingml.chart+xml" PartName="/word/charts/chart2.xml"/>
  <Override ContentType="application/vnd.openxmlformats-officedocument.drawingml.chart+xml" PartName="/word/charts/chart7.xml"/>
  <Override ContentType="application/vnd.openxmlformats-officedocument.drawingml.chart+xml" PartName="/word/charts/chart4.xml"/>
  <Override ContentType="application/vnd.openxmlformats-officedocument.drawingml.chart+xml" PartName="/word/charts/chart5.xml"/>
  <Override ContentType="application/vnd.openxmlformats-officedocument.drawingml.chart+xml" PartName="/word/charts/chart3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XmlProperties+xml" PartName="/customXML/itemProps1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ms-office.chartstyle+xml" PartName="/word/charts/style1.xml"/>
  <Override ContentType="application/vnd.ms-office.chartstyle+xml" PartName="/word/charts/style6.xml"/>
  <Override ContentType="application/vnd.ms-office.chartstyle+xml" PartName="/word/charts/style5.xml"/>
  <Override ContentType="application/vnd.ms-office.chartstyle+xml" PartName="/word/charts/style7.xml"/>
  <Override ContentType="application/vnd.ms-office.chartstyle+xml" PartName="/word/charts/style3.xml"/>
  <Override ContentType="application/vnd.ms-office.chartstyle+xml" PartName="/word/charts/style4.xml"/>
  <Override ContentType="application/vnd.ms-office.chartstyle+xml" PartName="/word/charts/style2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color w:val="59595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595959"/>
          <w:sz w:val="24"/>
          <w:szCs w:val="24"/>
          <w:rtl w:val="0"/>
        </w:rPr>
        <w:t xml:space="preserve">HACIENDA PÚBLICA</w:t>
      </w:r>
    </w:p>
    <w:tbl>
      <w:tblPr>
        <w:tblStyle w:val="Table1"/>
        <w:tblW w:w="9250.0" w:type="dxa"/>
        <w:jc w:val="left"/>
        <w:tblInd w:w="0.0" w:type="dxa"/>
        <w:tblLayout w:type="fixed"/>
        <w:tblLook w:val="0400"/>
      </w:tblPr>
      <w:tblGrid>
        <w:gridCol w:w="9250"/>
        <w:tblGridChange w:id="0">
          <w:tblGrid>
            <w:gridCol w:w="9250"/>
          </w:tblGrid>
        </w:tblGridChange>
      </w:tblGrid>
      <w:tr>
        <w:trPr>
          <w:cantSplit w:val="0"/>
          <w:trHeight w:val="5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Lograr un crecimiento económico municipal sostenible mediante la correcta aplicación del presupuesto</w:t>
            </w:r>
          </w:p>
        </w:tc>
      </w:tr>
      <w:tr>
        <w:trPr>
          <w:cantSplit w:val="0"/>
          <w:trHeight w:val="80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Crear estrategias, líneas de acción, planes y programas que ayuden al correcto funcionamiento de las direcciones y jefaturas a su cargo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Aumentar la recaudación mediante la eficacia de los trámites que brinda la dirección de catastro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Realizar registro de información en  SRFT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Programación y aplicación de la ley de ingresos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Elaboración del presupuesto de egresos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Recaudación del impuesto predial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Pago de la deuda pública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Elaboración de cuenta pública</w:t>
            </w:r>
          </w:p>
        </w:tc>
      </w:tr>
    </w:tbl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b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b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10.0" w:type="dxa"/>
        <w:jc w:val="left"/>
        <w:tblInd w:w="4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30"/>
        <w:gridCol w:w="2417"/>
        <w:gridCol w:w="1461"/>
        <w:gridCol w:w="1602"/>
        <w:tblGridChange w:id="0">
          <w:tblGrid>
            <w:gridCol w:w="3430"/>
            <w:gridCol w:w="2417"/>
            <w:gridCol w:w="1461"/>
            <w:gridCol w:w="1602"/>
          </w:tblGrid>
        </w:tblGridChange>
      </w:tblGrid>
      <w:tr>
        <w:trPr>
          <w:cantSplit w:val="0"/>
          <w:trHeight w:val="232" w:hRule="atLeast"/>
          <w:tblHeader w:val="0"/>
        </w:trPr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Hacienda Municipal</w:t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Total de cuentas </w:t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Cuentas pagadas</w:t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Recaudación total</w:t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Recaudación mensual del Impuesto predial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91,356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32,718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36%</w:t>
            </w:r>
          </w:p>
        </w:tc>
      </w:tr>
    </w:tbl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5943600" cy="3262746"/>
            <wp:docPr id="174" name=""/>
            <a:graphic>
              <a:graphicData uri="http://schemas.openxmlformats.org/drawingml/2006/chart">
                <c:chart r:id="rId7"/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1500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1.-Recaudación municipal</w:t>
      </w:r>
    </w:p>
    <w:p w:rsidR="00000000" w:rsidDel="00000000" w:rsidP="00000000" w:rsidRDefault="00000000" w:rsidRPr="00000000" w14:paraId="00000018">
      <w:pPr>
        <w:tabs>
          <w:tab w:val="left" w:pos="150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Tesorería Municipal sigue impulsando la recaudación de ingresos propios, mediante la implementación de estrategias financieras que fomentan a los ciudadanos saltenses cumplir con sus obligaciones tributarias con el municipio, como son: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00"/>
        </w:tabs>
        <w:spacing w:after="0" w:before="0" w:line="25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Descuentos por pronto pago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00"/>
        </w:tabs>
        <w:spacing w:after="0" w:before="0" w:line="25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Convenios de pago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00"/>
        </w:tabs>
        <w:spacing w:after="0" w:before="0" w:line="25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Campaña de notificación de adeudos de predial y agua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00"/>
        </w:tabs>
        <w:spacing w:after="0" w:before="0" w:line="25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Pago en línea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00"/>
        </w:tabs>
        <w:spacing w:after="0" w:before="0" w:line="25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Caja de pagos móvil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00"/>
        </w:tabs>
        <w:spacing w:after="0" w:before="0" w:line="25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Cajas en cada delegación municipal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00"/>
        </w:tabs>
        <w:spacing w:after="160" w:before="0" w:line="25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Notificación de créditos fiscales por omisión al cumplimiento de obligaciones tributarias</w:t>
      </w:r>
    </w:p>
    <w:p w:rsidR="00000000" w:rsidDel="00000000" w:rsidP="00000000" w:rsidRDefault="00000000" w:rsidRPr="00000000" w14:paraId="00000020">
      <w:pPr>
        <w:tabs>
          <w:tab w:val="left" w:pos="1500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  <w:t xml:space="preserve">2.- Pago en línea</w:t>
      </w:r>
    </w:p>
    <w:tbl>
      <w:tblPr>
        <w:tblStyle w:val="Table3"/>
        <w:tblW w:w="8944.0" w:type="dxa"/>
        <w:jc w:val="left"/>
        <w:tblInd w:w="0.0" w:type="dxa"/>
        <w:tblLayout w:type="fixed"/>
        <w:tblLook w:val="0400"/>
      </w:tblPr>
      <w:tblGrid>
        <w:gridCol w:w="1373"/>
        <w:gridCol w:w="2489"/>
        <w:gridCol w:w="2489"/>
        <w:gridCol w:w="2593"/>
        <w:tblGridChange w:id="0">
          <w:tblGrid>
            <w:gridCol w:w="1373"/>
            <w:gridCol w:w="2489"/>
            <w:gridCol w:w="2489"/>
            <w:gridCol w:w="2593"/>
          </w:tblGrid>
        </w:tblGridChange>
      </w:tblGrid>
      <w:tr>
        <w:trPr>
          <w:cantSplit w:val="0"/>
          <w:trHeight w:val="222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COMPARATIVA RECAUDACIÓN PAGO EN LÍNEA</w:t>
            </w:r>
          </w:p>
        </w:tc>
      </w:tr>
      <w:tr>
        <w:trPr>
          <w:cantSplit w:val="0"/>
          <w:trHeight w:val="44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AÑO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ENERO A JULIO 2022</w:t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MONTO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$ 3,744,472.18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$ 5,468,730.87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$ 6,425,808.74 </w:t>
            </w:r>
          </w:p>
        </w:tc>
      </w:tr>
    </w:tbl>
    <w:p w:rsidR="00000000" w:rsidDel="00000000" w:rsidP="00000000" w:rsidRDefault="00000000" w:rsidRPr="00000000" w14:paraId="0000002D">
      <w:pPr>
        <w:tabs>
          <w:tab w:val="left" w:pos="150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uso de las TIC’s ha impulsado la recaudación municipal y a su vez dota a la ciudadanía de una opción cómoda y segura para realizar el pago de sus contribuciones, cada vez son más saltenses los que prefieren pagar su agua y predial sin salir de casa, evitando filas y ahorrando tiempo.</w: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5580993" cy="3279140"/>
            <wp:docPr id="175" name=""/>
            <a:graphic>
              <a:graphicData uri="http://schemas.openxmlformats.org/drawingml/2006/chart">
                <c:chart r:id="rId8"/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1500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2.- Comparativa de ingresos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7687</wp:posOffset>
            </wp:positionH>
            <wp:positionV relativeFrom="paragraph">
              <wp:posOffset>282619</wp:posOffset>
            </wp:positionV>
            <wp:extent cx="5849157" cy="750115"/>
            <wp:effectExtent b="0" l="0" r="0" t="0"/>
            <wp:wrapNone/>
            <wp:docPr id="18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49157" cy="7501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1">
      <w:pPr>
        <w:tabs>
          <w:tab w:val="left" w:pos="1500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1500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1500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391795</wp:posOffset>
            </wp:positionH>
            <wp:positionV relativeFrom="paragraph">
              <wp:posOffset>281305</wp:posOffset>
            </wp:positionV>
            <wp:extent cx="5394960" cy="2755265"/>
            <wp:wrapNone/>
            <wp:docPr id="180" name=""/>
            <a:graphic>
              <a:graphicData uri="http://schemas.openxmlformats.org/drawingml/2006/chart">
                <c:chart r:id="rId10"/>
              </a:graphicData>
            </a:graphic>
          </wp:anchor>
        </w:drawing>
      </w:r>
    </w:p>
    <w:p w:rsidR="00000000" w:rsidDel="00000000" w:rsidP="00000000" w:rsidRDefault="00000000" w:rsidRPr="00000000" w14:paraId="00000034">
      <w:pPr>
        <w:tabs>
          <w:tab w:val="left" w:pos="6211"/>
          <w:tab w:val="left" w:pos="8001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</w:r>
    </w:p>
    <w:p w:rsidR="00000000" w:rsidDel="00000000" w:rsidP="00000000" w:rsidRDefault="00000000" w:rsidRPr="00000000" w14:paraId="00000035">
      <w:pPr>
        <w:tabs>
          <w:tab w:val="left" w:pos="1500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1500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1500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1500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1500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1500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1500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1500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5805237" cy="792706"/>
            <wp:effectExtent b="0" l="0" r="0" t="0"/>
            <wp:docPr id="18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05237" cy="7927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5612130" cy="2853558"/>
            <wp:docPr id="176" name=""/>
            <a:graphic>
              <a:graphicData uri="http://schemas.openxmlformats.org/drawingml/2006/chart">
                <c:chart r:id="rId12"/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1500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.3- Deuda pública</w:t>
      </w:r>
    </w:p>
    <w:tbl>
      <w:tblPr>
        <w:tblStyle w:val="Table4"/>
        <w:tblW w:w="8784.0" w:type="dxa"/>
        <w:jc w:val="left"/>
        <w:tblInd w:w="0.0" w:type="dxa"/>
        <w:tblLayout w:type="fixed"/>
        <w:tblLook w:val="0400"/>
      </w:tblPr>
      <w:tblGrid>
        <w:gridCol w:w="527"/>
        <w:gridCol w:w="2162"/>
        <w:gridCol w:w="2126"/>
        <w:gridCol w:w="1984"/>
        <w:gridCol w:w="1985"/>
        <w:tblGridChange w:id="0">
          <w:tblGrid>
            <w:gridCol w:w="527"/>
            <w:gridCol w:w="2162"/>
            <w:gridCol w:w="2126"/>
            <w:gridCol w:w="1984"/>
            <w:gridCol w:w="1985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DEUDA PÚBLICA HEREDADA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No.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Nombre del Acreedor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Fecha de Contratación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Mondo Original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Saldo Actual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BANCA BANSI 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30/01/2013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158,000,000.00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$ 10,406,605.00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BANOBRAS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30/04/2014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60,000,000.00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$ 36,708,860.48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 $    218,000,000.00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 $ 47,115,465.48 </w:t>
            </w:r>
          </w:p>
        </w:tc>
      </w:tr>
    </w:tbl>
    <w:p w:rsidR="00000000" w:rsidDel="00000000" w:rsidP="00000000" w:rsidRDefault="00000000" w:rsidRPr="00000000" w14:paraId="0000005C">
      <w:pPr>
        <w:tabs>
          <w:tab w:val="left" w:pos="1500"/>
        </w:tabs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4800.0" w:type="dxa"/>
        <w:jc w:val="left"/>
        <w:tblInd w:w="0.0" w:type="dxa"/>
        <w:tblLayout w:type="fixed"/>
        <w:tblLook w:val="0400"/>
      </w:tblPr>
      <w:tblGrid>
        <w:gridCol w:w="3454"/>
        <w:gridCol w:w="1200"/>
        <w:gridCol w:w="146"/>
        <w:tblGridChange w:id="0">
          <w:tblGrid>
            <w:gridCol w:w="3454"/>
            <w:gridCol w:w="1200"/>
            <w:gridCol w:w="146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5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Porcentaje de la deuda pagada con recursos propios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6600" w:val="clear"/>
            <w:tcMar>
              <w:top w:w="15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78%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5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6600" w:val="clear"/>
            <w:tcMar>
              <w:top w:w="15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5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6600" w:val="clear"/>
            <w:tcMar>
              <w:top w:w="15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tabs>
          <w:tab w:val="left" w:pos="1500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pos="1500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pos="1500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pos="1500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1500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4.- Calificadora de riesgos</w:t>
      </w:r>
    </w:p>
    <w:p w:rsidR="00000000" w:rsidDel="00000000" w:rsidP="00000000" w:rsidRDefault="00000000" w:rsidRPr="00000000" w14:paraId="0000006A">
      <w:pPr>
        <w:tabs>
          <w:tab w:val="left" w:pos="150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30 de noviembre de 2021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, PCR Verum ratificó la calificación de largo plazo de A-, al municipio de El Salto, Jalisco.</w:t>
      </w:r>
      <w:r w:rsidDel="00000000" w:rsidR="00000000" w:rsidRPr="00000000">
        <w:rPr>
          <w:rFonts w:ascii="Arial" w:cs="Arial" w:eastAsia="Arial" w:hAnsi="Arial"/>
          <w:rtl w:val="0"/>
        </w:rPr>
        <w:t xml:space="preserve"> La ratificación en la calificación del municipio se fundamenta en la reducción constante en los indicadores de endeudamiento, así como a la buena generación de Ingresos propios respecto a la mezcla total, fortalecidos por un buen sistema recaudatorio; pese a las afectaciones provocadas por la contingencia sanitaria. De igual forma, el municipio cuenta con una adecuada posición de liquidez para afrontar de mejor manera el complicado entorno económico.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-244562</wp:posOffset>
            </wp:positionH>
            <wp:positionV relativeFrom="paragraph">
              <wp:posOffset>796115</wp:posOffset>
            </wp:positionV>
            <wp:extent cx="6502092" cy="4172186"/>
            <wp:effectExtent b="0" l="0" r="0" t="0"/>
            <wp:wrapNone/>
            <wp:docPr id="185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02092" cy="417218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B">
      <w:pPr>
        <w:tabs>
          <w:tab w:val="left" w:pos="1500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pos="2295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pos="2295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pos="2295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pos="2295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Fuente: Agencia Calificadora PCR VERUM.</w:t>
      </w:r>
    </w:p>
    <w:p w:rsidR="00000000" w:rsidDel="00000000" w:rsidP="00000000" w:rsidRDefault="00000000" w:rsidRPr="00000000" w14:paraId="00000078">
      <w:pPr>
        <w:tabs>
          <w:tab w:val="left" w:pos="2295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left" w:pos="2295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5.- Inversión pública</w:t>
      </w:r>
    </w:p>
    <w:tbl>
      <w:tblPr>
        <w:tblStyle w:val="Table6"/>
        <w:tblW w:w="9129.0" w:type="dxa"/>
        <w:jc w:val="left"/>
        <w:tblInd w:w="0.0" w:type="dxa"/>
        <w:tblLayout w:type="fixed"/>
        <w:tblLook w:val="0400"/>
      </w:tblPr>
      <w:tblGrid>
        <w:gridCol w:w="6776"/>
        <w:gridCol w:w="2353"/>
        <w:tblGridChange w:id="0">
          <w:tblGrid>
            <w:gridCol w:w="6776"/>
            <w:gridCol w:w="2353"/>
          </w:tblGrid>
        </w:tblGridChange>
      </w:tblGrid>
      <w:tr>
        <w:trPr>
          <w:cantSplit w:val="0"/>
          <w:trHeight w:val="51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INVERSIÓN PÚBLICA OCTUBRE 2021 - JUNIO 2022</w:t>
            </w:r>
          </w:p>
        </w:tc>
      </w:tr>
      <w:tr>
        <w:trPr>
          <w:cantSplit w:val="0"/>
          <w:trHeight w:val="48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Inversión en obra pública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$ 85,746,040.57</w:t>
            </w:r>
          </w:p>
        </w:tc>
      </w:tr>
      <w:tr>
        <w:trPr>
          <w:cantSplit w:val="0"/>
          <w:trHeight w:val="48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Inversión en programas sociales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$ 24,661,784.74</w:t>
            </w:r>
          </w:p>
        </w:tc>
      </w:tr>
      <w:tr>
        <w:trPr>
          <w:cantSplit w:val="0"/>
          <w:trHeight w:val="48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Inversión en servicios médicos (insumos)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$ 3,080,575.56</w:t>
            </w:r>
          </w:p>
        </w:tc>
      </w:tr>
      <w:tr>
        <w:trPr>
          <w:cantSplit w:val="0"/>
          <w:trHeight w:val="48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Inversión en servicios municipales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$ 31,177,283.16</w:t>
            </w:r>
          </w:p>
        </w:tc>
      </w:tr>
      <w:tr>
        <w:trPr>
          <w:cantSplit w:val="0"/>
          <w:trHeight w:val="48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Inversión en SIMAPES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$  6,701,369.67</w:t>
            </w:r>
          </w:p>
        </w:tc>
      </w:tr>
      <w:tr>
        <w:trPr>
          <w:cantSplit w:val="0"/>
          <w:trHeight w:val="48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Inversión nuevo rastro municipal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$ 608,322.53</w:t>
            </w:r>
          </w:p>
        </w:tc>
      </w:tr>
      <w:tr>
        <w:trPr>
          <w:cantSplit w:val="0"/>
          <w:trHeight w:val="48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Inversión centro de salud pintas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$ 8,204,942.76</w:t>
            </w:r>
          </w:p>
        </w:tc>
      </w:tr>
      <w:tr>
        <w:trPr>
          <w:cantSplit w:val="0"/>
          <w:trHeight w:val="48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Inversión en vehículos operativos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$ 7,400,199.00</w:t>
            </w:r>
          </w:p>
        </w:tc>
      </w:tr>
      <w:tr>
        <w:trPr>
          <w:cantSplit w:val="0"/>
          <w:trHeight w:val="48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Inversión en alumbrado público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$ 7,985,316.34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$ 175,565,834.33 </w:t>
            </w:r>
          </w:p>
        </w:tc>
      </w:tr>
    </w:tbl>
    <w:p w:rsidR="00000000" w:rsidDel="00000000" w:rsidP="00000000" w:rsidRDefault="00000000" w:rsidRPr="00000000" w14:paraId="00000090">
      <w:pPr>
        <w:tabs>
          <w:tab w:val="left" w:pos="2295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left" w:pos="2295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Arial" w:cs="Arial" w:eastAsia="Arial" w:hAnsi="Arial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center"/>
        <w:rPr>
          <w:rFonts w:ascii="Arial" w:cs="Arial" w:eastAsia="Arial" w:hAnsi="Arial"/>
          <w:b w:val="1"/>
          <w:color w:val="40404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04040"/>
          <w:sz w:val="24"/>
          <w:szCs w:val="24"/>
          <w:rtl w:val="0"/>
        </w:rPr>
        <w:t xml:space="preserve">DIRECCIÓN DE CATASTRO</w:t>
      </w:r>
    </w:p>
    <w:tbl>
      <w:tblPr>
        <w:tblStyle w:val="Table7"/>
        <w:tblW w:w="9188.0" w:type="dxa"/>
        <w:jc w:val="left"/>
        <w:tblInd w:w="0.0" w:type="dxa"/>
        <w:tblLayout w:type="fixed"/>
        <w:tblLook w:val="0400"/>
      </w:tblPr>
      <w:tblGrid>
        <w:gridCol w:w="9188"/>
        <w:tblGridChange w:id="0">
          <w:tblGrid>
            <w:gridCol w:w="9188"/>
          </w:tblGrid>
        </w:tblGridChange>
      </w:tblGrid>
      <w:tr>
        <w:trPr>
          <w:cantSplit w:val="0"/>
          <w:trHeight w:val="359" w:hRule="atLeast"/>
          <w:tblHeader w:val="0"/>
        </w:trPr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Aumento en la recaudación mediante la eficiencia de los trámites.</w:t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Actualización de cuentas de la base de datos de Catastro y Valuación de Gabinete. </w:t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Registro de avalúos y dictámenes en el sistema. </w:t>
            </w:r>
          </w:p>
        </w:tc>
      </w:tr>
    </w:tbl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782.0" w:type="dxa"/>
        <w:jc w:val="left"/>
        <w:tblInd w:w="284.0" w:type="dxa"/>
        <w:tblLayout w:type="fixed"/>
        <w:tblLook w:val="0400"/>
      </w:tblPr>
      <w:tblGrid>
        <w:gridCol w:w="6450"/>
        <w:gridCol w:w="2332"/>
        <w:tblGridChange w:id="0">
          <w:tblGrid>
            <w:gridCol w:w="6450"/>
            <w:gridCol w:w="2332"/>
          </w:tblGrid>
        </w:tblGridChange>
      </w:tblGrid>
      <w:tr>
        <w:trPr>
          <w:cantSplit w:val="0"/>
          <w:trHeight w:val="12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Dirección de Catastro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Total 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Historial Catastral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354</w:t>
            </w:r>
          </w:p>
        </w:tc>
      </w:tr>
      <w:tr>
        <w:trPr>
          <w:cantSplit w:val="0"/>
          <w:trHeight w:val="39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Dictamen Catastral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374</w:t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Avalúo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ordinario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2,620</w:t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Avalúo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Urgente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63</w:t>
            </w:r>
          </w:p>
        </w:tc>
      </w:tr>
      <w:tr>
        <w:trPr>
          <w:cantSplit w:val="0"/>
          <w:trHeight w:val="11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Evalúo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con Valor Referido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46</w:t>
            </w:r>
          </w:p>
        </w:tc>
      </w:tr>
      <w:tr>
        <w:trPr>
          <w:cantSplit w:val="0"/>
          <w:trHeight w:val="14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Apertura de Cuentas Nuevas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938</w:t>
            </w:r>
          </w:p>
        </w:tc>
      </w:tr>
      <w:tr>
        <w:trPr>
          <w:cantSplit w:val="0"/>
          <w:trHeight w:val="14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Manifestación de Construcción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89</w:t>
            </w:r>
          </w:p>
        </w:tc>
      </w:tr>
      <w:tr>
        <w:trPr>
          <w:cantSplit w:val="0"/>
          <w:trHeight w:val="14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Traslado Sector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rHeight w:val="14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Actualización de Valores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5,070</w:t>
            </w:r>
          </w:p>
        </w:tc>
      </w:tr>
      <w:tr>
        <w:trPr>
          <w:cantSplit w:val="0"/>
          <w:trHeight w:val="14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Rectificaciones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501</w:t>
            </w:r>
          </w:p>
        </w:tc>
      </w:tr>
      <w:tr>
        <w:trPr>
          <w:cantSplit w:val="0"/>
          <w:trHeight w:val="14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Transmisiones Patrimoniales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3,509</w:t>
            </w:r>
          </w:p>
        </w:tc>
      </w:tr>
      <w:tr>
        <w:trPr>
          <w:cantSplit w:val="0"/>
          <w:trHeight w:val="14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Trámites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Varios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354</w:t>
            </w:r>
          </w:p>
        </w:tc>
      </w:tr>
    </w:tbl>
    <w:p w:rsidR="00000000" w:rsidDel="00000000" w:rsidP="00000000" w:rsidRDefault="00000000" w:rsidRPr="00000000" w14:paraId="000000B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5863590" cy="2842480"/>
            <wp:docPr id="177" name=""/>
            <a:graphic>
              <a:graphicData uri="http://schemas.openxmlformats.org/drawingml/2006/chart">
                <c:chart r:id="rId14"/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center"/>
        <w:rPr>
          <w:rFonts w:ascii="Arial" w:cs="Arial" w:eastAsia="Arial" w:hAnsi="Arial"/>
          <w:b w:val="1"/>
          <w:color w:val="59595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595959"/>
          <w:sz w:val="24"/>
          <w:szCs w:val="24"/>
          <w:rtl w:val="0"/>
        </w:rPr>
        <w:t xml:space="preserve">JEFATURA DE TIANGUIS</w:t>
      </w:r>
    </w:p>
    <w:p w:rsidR="00000000" w:rsidDel="00000000" w:rsidP="00000000" w:rsidRDefault="00000000" w:rsidRPr="00000000" w14:paraId="000000C1">
      <w:pPr>
        <w:jc w:val="center"/>
        <w:rPr>
          <w:rFonts w:ascii="Arial" w:cs="Arial" w:eastAsia="Arial" w:hAnsi="Arial"/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7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35"/>
        <w:gridCol w:w="3421"/>
        <w:tblGridChange w:id="0">
          <w:tblGrid>
            <w:gridCol w:w="6335"/>
            <w:gridCol w:w="3421"/>
          </w:tblGrid>
        </w:tblGridChange>
      </w:tblGrid>
      <w:tr>
        <w:trPr>
          <w:cantSplit w:val="0"/>
          <w:trHeight w:val="601" w:hRule="atLeast"/>
          <w:tblHeader w:val="0"/>
        </w:trPr>
        <w:tc>
          <w:tcPr>
            <w:shd w:fill="404040" w:val="clear"/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Actividades de la Jefatura </w:t>
            </w:r>
          </w:p>
        </w:tc>
        <w:tc>
          <w:tcPr>
            <w:shd w:fill="404040" w:val="clear"/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Observaciones</w:t>
            </w:r>
          </w:p>
        </w:tc>
      </w:tr>
      <w:tr>
        <w:trPr>
          <w:cantSplit w:val="0"/>
          <w:trHeight w:val="6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Atender y dar solución a  las necesidades de los comerciantes de tianguis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100 atenciones a comerciantes</w:t>
            </w:r>
          </w:p>
        </w:tc>
      </w:tr>
      <w:tr>
        <w:trPr>
          <w:cantSplit w:val="0"/>
          <w:trHeight w:val="6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Regulación de espacios en tianguis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100% de espacios regulados</w:t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Barrida y recolección de basura en tianguis en coordinación con aseo publico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100% de espacios de tianguis limpios</w:t>
            </w:r>
          </w:p>
        </w:tc>
      </w:tr>
      <w:tr>
        <w:trPr>
          <w:cantSplit w:val="0"/>
          <w:trHeight w:val="58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Trámite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de cambio de propietario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</w:tr>
      <w:tr>
        <w:trPr>
          <w:cantSplit w:val="0"/>
          <w:trHeight w:val="7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Recaudación de derecho de piso en tianguis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12 tianguis </w:t>
            </w:r>
          </w:p>
        </w:tc>
      </w:tr>
    </w:tbl>
    <w:p w:rsidR="00000000" w:rsidDel="00000000" w:rsidP="00000000" w:rsidRDefault="00000000" w:rsidRPr="00000000" w14:paraId="000000CE">
      <w:pPr>
        <w:rPr>
          <w:rFonts w:ascii="Arial" w:cs="Arial" w:eastAsia="Arial" w:hAnsi="Arial"/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center"/>
        <w:rPr>
          <w:rFonts w:ascii="Arial" w:cs="Arial" w:eastAsia="Arial" w:hAnsi="Arial"/>
          <w:b w:val="1"/>
          <w:color w:val="59595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595959"/>
          <w:sz w:val="24"/>
          <w:szCs w:val="24"/>
          <w:rtl w:val="0"/>
        </w:rPr>
        <w:t xml:space="preserve">JEFATURA DE TIANGUIS</w:t>
      </w:r>
    </w:p>
    <w:p w:rsidR="00000000" w:rsidDel="00000000" w:rsidP="00000000" w:rsidRDefault="00000000" w:rsidRPr="00000000" w14:paraId="000000D0">
      <w:pPr>
        <w:rPr>
          <w:rFonts w:ascii="Arial" w:cs="Arial" w:eastAsia="Arial" w:hAnsi="Arial"/>
          <w:b w:val="1"/>
          <w:color w:val="59595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0" distT="0" distL="0" distR="0">
            <wp:extent cx="6232428" cy="4459507"/>
            <wp:effectExtent b="0" l="0" r="0" t="0"/>
            <wp:docPr id="18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 b="0" l="0" r="0" t="7843"/>
                    <a:stretch>
                      <a:fillRect/>
                    </a:stretch>
                  </pic:blipFill>
                  <pic:spPr>
                    <a:xfrm>
                      <a:off x="0" y="0"/>
                      <a:ext cx="6232428" cy="44595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jc w:val="center"/>
        <w:rPr>
          <w:rFonts w:ascii="Arial" w:cs="Arial" w:eastAsia="Arial" w:hAnsi="Arial"/>
          <w:b w:val="1"/>
          <w:color w:val="59595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595959"/>
          <w:sz w:val="24"/>
          <w:szCs w:val="24"/>
          <w:rtl w:val="0"/>
        </w:rPr>
        <w:t xml:space="preserve">JEFATURA DE MERCADOS</w:t>
      </w:r>
    </w:p>
    <w:p w:rsidR="00000000" w:rsidDel="00000000" w:rsidP="00000000" w:rsidRDefault="00000000" w:rsidRPr="00000000" w14:paraId="000000D2">
      <w:pPr>
        <w:jc w:val="center"/>
        <w:rPr>
          <w:rFonts w:ascii="Arial" w:cs="Arial" w:eastAsia="Arial" w:hAnsi="Arial"/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461.0" w:type="dxa"/>
        <w:jc w:val="left"/>
        <w:tblInd w:w="0.0" w:type="dxa"/>
        <w:tblLayout w:type="fixed"/>
        <w:tblLook w:val="0400"/>
      </w:tblPr>
      <w:tblGrid>
        <w:gridCol w:w="7570"/>
        <w:gridCol w:w="1891"/>
        <w:tblGridChange w:id="0">
          <w:tblGrid>
            <w:gridCol w:w="7570"/>
            <w:gridCol w:w="1891"/>
          </w:tblGrid>
        </w:tblGridChange>
      </w:tblGrid>
      <w:tr>
        <w:trPr>
          <w:cantSplit w:val="0"/>
          <w:trHeight w:val="59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Actividad de la Jefatura de Mercados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Total</w:t>
            </w:r>
          </w:p>
        </w:tc>
      </w:tr>
      <w:tr>
        <w:trPr>
          <w:cantSplit w:val="0"/>
          <w:trHeight w:val="8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Atender y dar solución a  las necesidades de los locatarios  del mercado municipal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53</w:t>
            </w:r>
          </w:p>
        </w:tc>
      </w:tr>
      <w:tr>
        <w:trPr>
          <w:cantSplit w:val="0"/>
          <w:trHeight w:val="8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Autorización de puestos semifijos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rHeight w:val="81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Contribuir y dar seguimiento a los desperfectos y problemáticas que aquejan al inmueble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100%</w:t>
            </w:r>
          </w:p>
        </w:tc>
      </w:tr>
      <w:tr>
        <w:trPr>
          <w:cantSplit w:val="0"/>
          <w:trHeight w:val="54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Dotar de los servicios básicos a los locatarios del mercado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100%</w:t>
            </w:r>
          </w:p>
        </w:tc>
      </w:tr>
      <w:tr>
        <w:trPr>
          <w:cantSplit w:val="0"/>
          <w:trHeight w:val="5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Mantenimiento a sanitarios en mercado municipal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cantSplit w:val="0"/>
          <w:trHeight w:val="54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Mantenimiento a sanitarios en plaza Benito Juárez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E1">
      <w:pPr>
        <w:rPr>
          <w:rFonts w:ascii="Arial" w:cs="Arial" w:eastAsia="Arial" w:hAnsi="Arial"/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Arial" w:cs="Arial" w:eastAsia="Arial" w:hAnsi="Arial"/>
          <w:b w:val="1"/>
          <w:color w:val="59595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595959"/>
          <w:sz w:val="24"/>
          <w:szCs w:val="24"/>
          <w:rtl w:val="0"/>
        </w:rPr>
        <w:t xml:space="preserve">Actividades de mantenimiento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Limpieza de espacios públicos 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Vigilancia permanente en las instalaciones del mercado municipal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Reparación de luminarias 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Pintura de jardineras para dar una mejor imagen al mercado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Reparación de techo de mercado</w:t>
      </w:r>
    </w:p>
    <w:p w:rsidR="00000000" w:rsidDel="00000000" w:rsidP="00000000" w:rsidRDefault="00000000" w:rsidRPr="00000000" w14:paraId="000000E8">
      <w:pPr>
        <w:jc w:val="center"/>
        <w:rPr>
          <w:rFonts w:ascii="Arial" w:cs="Arial" w:eastAsia="Arial" w:hAnsi="Arial"/>
          <w:b w:val="1"/>
          <w:color w:val="595959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5972175" cy="2886075"/>
            <wp:docPr id="179" name=""/>
            <a:graphic>
              <a:graphicData uri="http://schemas.openxmlformats.org/drawingml/2006/chart">
                <c:chart r:id="rId16"/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jc w:val="center"/>
        <w:rPr>
          <w:rFonts w:ascii="Arial" w:cs="Arial" w:eastAsia="Arial" w:hAnsi="Arial"/>
          <w:b w:val="1"/>
          <w:color w:val="59595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595959"/>
          <w:sz w:val="24"/>
          <w:szCs w:val="24"/>
          <w:rtl w:val="0"/>
        </w:rPr>
        <w:t xml:space="preserve">DIRECCIÓN DE INSPECCIÓN Y VIGILANCIA</w:t>
      </w:r>
    </w:p>
    <w:p w:rsidR="00000000" w:rsidDel="00000000" w:rsidP="00000000" w:rsidRDefault="00000000" w:rsidRPr="00000000" w14:paraId="000000EA">
      <w:pPr>
        <w:jc w:val="center"/>
        <w:rPr>
          <w:rFonts w:ascii="Arial" w:cs="Arial" w:eastAsia="Arial" w:hAnsi="Arial"/>
          <w:b w:val="1"/>
          <w:color w:val="59595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595959"/>
          <w:sz w:val="24"/>
          <w:szCs w:val="24"/>
          <w:rtl w:val="0"/>
        </w:rPr>
        <w:t xml:space="preserve">La dirección de Inspección y Vigilancia realizó los siguientes operativos: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Regulación de cuentas predial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Fiestas patronales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Atención a parques industriales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Llanteras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Quema de pirotecnia y fogatas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Vistas a establecimiento para vigilar la correcta aplicación del reglamento y su regulación.</w:t>
      </w:r>
    </w:p>
    <w:tbl>
      <w:tblPr>
        <w:tblStyle w:val="Table11"/>
        <w:tblW w:w="88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05"/>
        <w:gridCol w:w="2437"/>
        <w:tblGridChange w:id="0">
          <w:tblGrid>
            <w:gridCol w:w="6405"/>
            <w:gridCol w:w="2437"/>
          </w:tblGrid>
        </w:tblGridChange>
      </w:tblGrid>
      <w:tr>
        <w:trPr>
          <w:cantSplit w:val="0"/>
          <w:trHeight w:val="140" w:hRule="atLeast"/>
          <w:tblHeader w:val="0"/>
        </w:trPr>
        <w:tc>
          <w:tcPr>
            <w:shd w:fill="404040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Actividades</w:t>
            </w:r>
          </w:p>
        </w:tc>
        <w:tc>
          <w:tcPr>
            <w:shd w:fill="404040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Total</w:t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Infracciones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884</w:t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Apercibimientos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536</w:t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Orden De Visita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454</w:t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Reportes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163</w:t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Visitas de Inspección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2,852</w:t>
            </w:r>
          </w:p>
        </w:tc>
      </w:tr>
    </w:tbl>
    <w:p w:rsidR="00000000" w:rsidDel="00000000" w:rsidP="00000000" w:rsidRDefault="00000000" w:rsidRPr="00000000" w14:paraId="000000FD">
      <w:pPr>
        <w:rPr>
          <w:rFonts w:ascii="Arial" w:cs="Arial" w:eastAsia="Arial" w:hAnsi="Arial"/>
          <w:b w:val="1"/>
          <w:color w:val="595959"/>
          <w:sz w:val="24"/>
          <w:szCs w:val="24"/>
        </w:rPr>
      </w:pPr>
      <w:bookmarkStart w:colFirst="0" w:colLast="0" w:name="_heading=h.gjdgxs" w:id="1"/>
      <w:bookmarkEnd w:id="1"/>
      <w:r w:rsidDel="00000000" w:rsidR="00000000" w:rsidRPr="00000000">
        <w:rPr/>
        <w:drawing>
          <wp:inline distB="0" distT="0" distL="0" distR="0">
            <wp:extent cx="5612765" cy="2784764"/>
            <wp:docPr id="178" name=""/>
            <a:graphic>
              <a:graphicData uri="http://schemas.openxmlformats.org/drawingml/2006/chart">
                <c:chart r:id="rId17"/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595959"/>
          <w:rtl w:val="0"/>
        </w:rPr>
        <w:t xml:space="preserve">DIRECCIÓN DE APREMIOS</w:t>
      </w:r>
      <w:r w:rsidDel="00000000" w:rsidR="00000000" w:rsidRPr="00000000">
        <w:rPr>
          <w:rtl w:val="0"/>
        </w:rPr>
      </w:r>
    </w:p>
    <w:tbl>
      <w:tblPr>
        <w:tblStyle w:val="Table12"/>
        <w:tblW w:w="8947.0" w:type="dxa"/>
        <w:jc w:val="left"/>
        <w:tblInd w:w="0.0" w:type="dxa"/>
        <w:tblLayout w:type="fixed"/>
        <w:tblLook w:val="0400"/>
      </w:tblPr>
      <w:tblGrid>
        <w:gridCol w:w="6136"/>
        <w:gridCol w:w="2811"/>
        <w:tblGridChange w:id="0">
          <w:tblGrid>
            <w:gridCol w:w="6136"/>
            <w:gridCol w:w="2811"/>
          </w:tblGrid>
        </w:tblGridChange>
      </w:tblGrid>
      <w:tr>
        <w:trPr>
          <w:cantSplit w:val="0"/>
          <w:trHeight w:val="4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Apremios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404040" w:val="clear"/>
            <w:vAlign w:val="bottom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Total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Notificaciones de infracciones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1,918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Notificaciones pagadas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272</w:t>
            </w:r>
          </w:p>
        </w:tc>
      </w:tr>
    </w:tbl>
    <w:p w:rsidR="00000000" w:rsidDel="00000000" w:rsidP="00000000" w:rsidRDefault="00000000" w:rsidRPr="00000000" w14:paraId="0000010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8" w:type="default"/>
      <w:headerReference r:id="rId19" w:type="first"/>
      <w:headerReference r:id="rId20" w:type="even"/>
      <w:footerReference r:id="rId21" w:type="default"/>
      <w:footerReference r:id="rId22" w:type="first"/>
      <w:footerReference r:id="rId23" w:type="even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ed7d31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ed7d31"/>
        <w:sz w:val="22"/>
        <w:szCs w:val="22"/>
        <w:u w:val="none"/>
        <w:shd w:fill="auto" w:val="clear"/>
        <w:vertAlign w:val="baseline"/>
        <w:rtl w:val="0"/>
      </w:rPr>
      <w:t xml:space="preserve">DIRECCIÓN DE PLANEACIÓN Y EVALUACIÓN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1520005</wp:posOffset>
          </wp:positionH>
          <wp:positionV relativeFrom="paragraph">
            <wp:posOffset>-71028</wp:posOffset>
          </wp:positionV>
          <wp:extent cx="1562735" cy="395719"/>
          <wp:effectExtent b="0" l="0" r="0" t="0"/>
          <wp:wrapNone/>
          <wp:docPr descr="C:\Users\Lenovo\Downloads\WhatsAppImage2022-01-12at12.53.47PM.jpeg" id="183" name="image1.jpg"/>
          <a:graphic>
            <a:graphicData uri="http://schemas.openxmlformats.org/drawingml/2006/picture">
              <pic:pic>
                <pic:nvPicPr>
                  <pic:cNvPr descr="C:\Users\Lenovo\Downloads\WhatsAppImage2022-01-12at12.53.47PM.jpeg" id="0" name="image1.jpg"/>
                  <pic:cNvPicPr preferRelativeResize="0"/>
                </pic:nvPicPr>
                <pic:blipFill>
                  <a:blip r:embed="rId1"/>
                  <a:srcRect b="0" l="0" r="0" t="66478"/>
                  <a:stretch>
                    <a:fillRect/>
                  </a:stretch>
                </pic:blipFill>
                <pic:spPr>
                  <a:xfrm>
                    <a:off x="0" y="0"/>
                    <a:ext cx="1562735" cy="39571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0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b w:val="1"/>
        <w:color w:val="404040"/>
        <w:sz w:val="28"/>
        <w:szCs w:val="2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ed7d31"/>
        <w:sz w:val="20"/>
        <w:szCs w:val="20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0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0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0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0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0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0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0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color w:val="ed7d31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ed7d3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 w:val="1"/>
    <w:rsid w:val="00BA715B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BA715B"/>
  </w:style>
  <w:style w:type="paragraph" w:styleId="Piedepgina">
    <w:name w:val="footer"/>
    <w:basedOn w:val="Normal"/>
    <w:link w:val="PiedepginaCar"/>
    <w:uiPriority w:val="99"/>
    <w:unhideWhenUsed w:val="1"/>
    <w:rsid w:val="00BA715B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BA715B"/>
  </w:style>
  <w:style w:type="paragraph" w:styleId="Prrafodelista">
    <w:name w:val="List Paragraph"/>
    <w:basedOn w:val="Normal"/>
    <w:uiPriority w:val="34"/>
    <w:qFormat w:val="1"/>
    <w:rsid w:val="00BA715B"/>
    <w:pPr>
      <w:ind w:left="720"/>
      <w:contextualSpacing w:val="1"/>
    </w:pPr>
  </w:style>
  <w:style w:type="table" w:styleId="Tablaconcuadrcula">
    <w:name w:val="Table Grid"/>
    <w:basedOn w:val="Tablanormal"/>
    <w:uiPriority w:val="39"/>
    <w:rsid w:val="0015047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030F0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2.xml"/><Relationship Id="rId11" Type="http://schemas.openxmlformats.org/officeDocument/2006/relationships/image" Target="media/image5.png"/><Relationship Id="rId22" Type="http://schemas.openxmlformats.org/officeDocument/2006/relationships/footer" Target="footer2.xml"/><Relationship Id="rId10" Type="http://schemas.openxmlformats.org/officeDocument/2006/relationships/chart" Target="charts/chart7.xml"/><Relationship Id="rId21" Type="http://schemas.openxmlformats.org/officeDocument/2006/relationships/footer" Target="footer3.xml"/><Relationship Id="rId13" Type="http://schemas.openxmlformats.org/officeDocument/2006/relationships/image" Target="media/image4.jpg"/><Relationship Id="rId12" Type="http://schemas.openxmlformats.org/officeDocument/2006/relationships/chart" Target="charts/chart3.xml"/><Relationship Id="rId23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image" Target="media/image2.png"/><Relationship Id="rId14" Type="http://schemas.openxmlformats.org/officeDocument/2006/relationships/chart" Target="charts/chart4.xml"/><Relationship Id="rId17" Type="http://schemas.openxmlformats.org/officeDocument/2006/relationships/chart" Target="charts/chart5.xml"/><Relationship Id="rId16" Type="http://schemas.openxmlformats.org/officeDocument/2006/relationships/chart" Target="charts/chart6.xml"/><Relationship Id="rId5" Type="http://schemas.openxmlformats.org/officeDocument/2006/relationships/styles" Target="styles.xml"/><Relationship Id="rId19" Type="http://schemas.openxmlformats.org/officeDocument/2006/relationships/header" Target="header3.xml"/><Relationship Id="rId6" Type="http://schemas.openxmlformats.org/officeDocument/2006/relationships/customXml" Target="../customXML/item1.xml"/><Relationship Id="rId18" Type="http://schemas.openxmlformats.org/officeDocument/2006/relationships/header" Target="header1.xml"/><Relationship Id="rId7" Type="http://schemas.openxmlformats.org/officeDocument/2006/relationships/chart" Target="charts/chart1.xml"/><Relationship Id="rId8" Type="http://schemas.openxmlformats.org/officeDocument/2006/relationships/chart" Target="charts/chart2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<Relationships xmlns="http://schemas.openxmlformats.org/package/2006/relationships"><Relationship Id="rId1" Type="http://schemas.microsoft.com/office/2011/relationships/chartStyle" Target="style1.xml"/><Relationship Id="rId2" Type="http://schemas.microsoft.com/office/2011/relationships/chartColorStyle" Target="colors1.xml"/><Relationship Id="rId3" Type="http://schemas.openxmlformats.org/officeDocument/2006/relationships/oleObject" Target="file:///C:\Users\Lenovo\Desktop\ESCRITORIO.xlsx" TargetMode="External"/></Relationships>
</file>

<file path=word/charts/_rels/chart2.xml.rels><?xml version="1.0" encoding="UTF-8" standalone="yes"?><Relationships xmlns="http://schemas.openxmlformats.org/package/2006/relationships"><Relationship Id="rId1" Type="http://schemas.microsoft.com/office/2011/relationships/chartStyle" Target="style2.xml"/><Relationship Id="rId2" Type="http://schemas.microsoft.com/office/2011/relationships/chartColorStyle" Target="colors2.xml"/><Relationship Id="rId3" Type="http://schemas.openxmlformats.org/officeDocument/2006/relationships/oleObject" Target="Libro1" TargetMode="External"/></Relationships>
</file>

<file path=word/charts/_rels/chart3.xml.rels><?xml version="1.0" encoding="UTF-8" standalone="yes"?><Relationships xmlns="http://schemas.openxmlformats.org/package/2006/relationships"><Relationship Id="rId1" Type="http://schemas.microsoft.com/office/2011/relationships/chartStyle" Target="style3.xml"/><Relationship Id="rId2" Type="http://schemas.microsoft.com/office/2011/relationships/chartColorStyle" Target="colors3.xml"/><Relationship Id="rId3" Type="http://schemas.openxmlformats.org/officeDocument/2006/relationships/oleObject" Target="file:///C:\Users\Hp\Downloads\DATOS%20INFORME%20GOBIERNO%202022%20TESORERIA.xlsx" TargetMode="External"/></Relationships>
</file>

<file path=word/charts/_rels/chart4.xml.rels><?xml version="1.0" encoding="UTF-8" standalone="yes"?><Relationships xmlns="http://schemas.openxmlformats.org/package/2006/relationships"><Relationship Id="rId1" Type="http://schemas.microsoft.com/office/2011/relationships/chartStyle" Target="style4.xml"/><Relationship Id="rId2" Type="http://schemas.microsoft.com/office/2011/relationships/chartColorStyle" Target="colors4.xml"/><Relationship Id="rId3" Type="http://schemas.openxmlformats.org/officeDocument/2006/relationships/oleObject" Target="file:///C:\Users\Lenovo\Desktop\ESCRITORIO.xlsx" TargetMode="External"/></Relationships>
</file>

<file path=word/charts/_rels/chart5.xml.rels><?xml version="1.0" encoding="UTF-8" standalone="yes"?><Relationships xmlns="http://schemas.openxmlformats.org/package/2006/relationships"><Relationship Id="rId1" Type="http://schemas.microsoft.com/office/2011/relationships/chartStyle" Target="style5.xml"/><Relationship Id="rId2" Type="http://schemas.microsoft.com/office/2011/relationships/chartColorStyle" Target="colors5.xml"/><Relationship Id="rId3" Type="http://schemas.openxmlformats.org/officeDocument/2006/relationships/oleObject" Target="file:///C:\Users\Lenovo\Desktop\ESCRITORIO.xlsx" TargetMode="External"/></Relationships>
</file>

<file path=word/charts/_rels/chart6.xml.rels><?xml version="1.0" encoding="UTF-8" standalone="yes"?><Relationships xmlns="http://schemas.openxmlformats.org/package/2006/relationships"><Relationship Id="rId1" Type="http://schemas.microsoft.com/office/2011/relationships/chartStyle" Target="style6.xml"/><Relationship Id="rId2" Type="http://schemas.microsoft.com/office/2011/relationships/chartColorStyle" Target="colors6.xml"/><Relationship Id="rId3" Type="http://schemas.openxmlformats.org/officeDocument/2006/relationships/oleObject" Target="file:///C:\Users\Lenovo\Desktop\ESCRITORIO.xlsx" TargetMode="External"/></Relationships>
</file>

<file path=word/charts/_rels/chart7.xml.rels><?xml version="1.0" encoding="UTF-8" standalone="yes"?><Relationships xmlns="http://schemas.openxmlformats.org/package/2006/relationships"><Relationship Id="rId1" Type="http://schemas.microsoft.com/office/2011/relationships/chartStyle" Target="style7.xml"/><Relationship Id="rId2" Type="http://schemas.microsoft.com/office/2011/relationships/chartColorStyle" Target="colors7.xml"/><Relationship Id="rId3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92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Recaudación del Impuesto predial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92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Hoja14!$A$19</c:f>
              <c:strCache>
                <c:ptCount val="1"/>
                <c:pt idx="0">
                  <c:v> Recaudación mensual del Impuesto predial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9582-4329-9FDA-24553CD522F0}"/>
              </c:ext>
            </c:extLst>
          </c:dPt>
          <c:cat>
            <c:strRef>
              <c:f>Hoja14!$B$18:$C$18</c:f>
              <c:strCache>
                <c:ptCount val="2"/>
                <c:pt idx="0">
                  <c:v>Total de cuentas </c:v>
                </c:pt>
                <c:pt idx="1">
                  <c:v>Cuantas pagadas</c:v>
                </c:pt>
              </c:strCache>
            </c:strRef>
          </c:cat>
          <c:val>
            <c:numRef>
              <c:f>Hoja14!$B$19:$C$19</c:f>
              <c:numCache>
                <c:formatCode>#,##0</c:formatCode>
                <c:ptCount val="2"/>
                <c:pt idx="0">
                  <c:v>91356</c:v>
                </c:pt>
                <c:pt idx="1">
                  <c:v>32718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582-4329-9FDA-24553CD522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1403695"/>
        <c:axId val="451404111"/>
        <c:axId val="0"/>
      </c:bar3DChart>
      <c:catAx>
        <c:axId val="45140369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51404111"/>
        <c:crosses val="autoZero"/>
        <c:auto val="1"/>
        <c:lblAlgn val="ctr"/>
        <c:lblOffset val="100"/>
        <c:noMultiLvlLbl val="0"/>
      </c:catAx>
      <c:valAx>
        <c:axId val="45140411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5140369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600" b="1"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100" b="1">
                <a:latin typeface="Arial" panose="020B0604020202020204" pitchFamily="34" charset="0"/>
                <a:cs typeface="Arial" panose="020B0604020202020204" pitchFamily="34" charset="0"/>
              </a:rPr>
              <a:t>COMPARATIVA RECAUDACIÓN PAGO</a:t>
            </a:r>
            <a:r>
              <a:rPr lang="en-US" sz="1100" b="1" baseline="0">
                <a:latin typeface="Arial" panose="020B0604020202020204" pitchFamily="34" charset="0"/>
                <a:cs typeface="Arial" panose="020B0604020202020204" pitchFamily="34" charset="0"/>
              </a:rPr>
              <a:t> EN LÍNEA</a:t>
            </a:r>
            <a:endParaRPr lang="en-US" sz="1100" b="1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Hoja4!$A$3</c:f>
              <c:strCache>
                <c:ptCount val="1"/>
                <c:pt idx="0">
                  <c:v>MONTO</c:v>
                </c:pt>
              </c:strCache>
            </c:strRef>
          </c:tx>
          <c:spPr>
            <a:solidFill>
              <a:srgbClr val="FF6600"/>
            </a:solidFill>
            <a:ln>
              <a:noFill/>
            </a:ln>
            <a:effectLst/>
          </c:spPr>
          <c:invertIfNegative val="0"/>
          <c:cat>
            <c:strRef>
              <c:f>Hoja4!$B$2:$D$2</c:f>
              <c:strCache>
                <c:ptCount val="3"/>
                <c:pt idx="0">
                  <c:v>2020</c:v>
                </c:pt>
                <c:pt idx="1">
                  <c:v>2021</c:v>
                </c:pt>
                <c:pt idx="2">
                  <c:v>ENERO A JULIO 2022</c:v>
                </c:pt>
              </c:strCache>
            </c:strRef>
          </c:cat>
          <c:val>
            <c:numRef>
              <c:f>Hoja4!$B$3:$D$3</c:f>
              <c:numCache>
                <c:formatCode>_("$"* #,##0.00_);_("$"* \(#,##0.00\);_("$"* "-"??_);_(@_)</c:formatCode>
                <c:ptCount val="3"/>
                <c:pt idx="0">
                  <c:v>3744472.18</c:v>
                </c:pt>
                <c:pt idx="1">
                  <c:v>5468730.8700000001</c:v>
                </c:pt>
                <c:pt idx="2">
                  <c:v>6425808.7400000002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45-42C4-952C-85A0852795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23310976"/>
        <c:axId val="1823304736"/>
      </c:barChart>
      <c:catAx>
        <c:axId val="1823310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823304736"/>
        <c:crosses val="autoZero"/>
        <c:auto val="1"/>
        <c:lblAlgn val="ctr"/>
        <c:lblOffset val="100"/>
        <c:noMultiLvlLbl val="0"/>
      </c:catAx>
      <c:valAx>
        <c:axId val="1823304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&quot;$&quot;* #,##0.00_);_(&quot;$&quot;* \(#,##0.00\);_(&quot;$&quot;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823310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s-MX" sz="1800" b="1" i="0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COMPARATIVA INGRESOS POR APORTACIONES FEDERALES Y ESTATALES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b="1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s-MX" b="1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1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Hoja3!$A$3</c:f>
              <c:strCache>
                <c:ptCount val="1"/>
                <c:pt idx="0">
                  <c:v>MONTO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EA8A-43E3-9396-7DE2851F5DD9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EA8A-43E3-9396-7DE2851F5DD9}"/>
              </c:ext>
            </c:extLst>
          </c:dPt>
          <c:dPt>
            <c:idx val="2"/>
            <c:invertIfNegative val="0"/>
            <c:bubble3D val="0"/>
            <c:spPr>
              <a:solidFill>
                <a:srgbClr val="FF66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EA8A-43E3-9396-7DE2851F5DD9}"/>
              </c:ext>
            </c:extLst>
          </c:dPt>
          <c:dPt>
            <c:idx val="3"/>
            <c:invertIfNegative val="0"/>
            <c:bubble3D val="0"/>
            <c:spPr>
              <a:solidFill>
                <a:srgbClr val="FF66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EA8A-43E3-9396-7DE2851F5DD9}"/>
              </c:ext>
            </c:extLst>
          </c:dPt>
          <c:dPt>
            <c:idx val="4"/>
            <c:invertIfNegative val="0"/>
            <c:bubble3D val="0"/>
            <c:spPr>
              <a:solidFill>
                <a:srgbClr val="FF66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EA8A-43E3-9396-7DE2851F5DD9}"/>
              </c:ext>
            </c:extLst>
          </c:dPt>
          <c:dPt>
            <c:idx val="5"/>
            <c:invertIfNegative val="0"/>
            <c:bubble3D val="0"/>
            <c:spPr>
              <a:solidFill>
                <a:srgbClr val="FF66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EA8A-43E3-9396-7DE2851F5DD9}"/>
              </c:ext>
            </c:extLst>
          </c:dPt>
          <c:cat>
            <c:strRef>
              <c:f>Hoja3!$B$2:$G$2</c:f>
              <c:strCach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ENERO A JULIO 2022</c:v>
                </c:pt>
              </c:strCache>
            </c:strRef>
          </c:cat>
          <c:val>
            <c:numRef>
              <c:f>Hoja3!$B$3:$G$3</c:f>
              <c:numCache>
                <c:formatCode>"$"#,##0.00_);[Red]\("$"#,##0.00\)</c:formatCode>
                <c:ptCount val="6"/>
                <c:pt idx="0">
                  <c:v>373813815.68000001</c:v>
                </c:pt>
                <c:pt idx="1">
                  <c:v>398659034.51999998</c:v>
                </c:pt>
                <c:pt idx="2" formatCode="_(&quot;$&quot;* #,##0.00_);_(&quot;$&quot;* \(#,##0.00\);_(&quot;$&quot;* &quot;-&quot;??_);_(@_)">
                  <c:v>448925580.69</c:v>
                </c:pt>
                <c:pt idx="3" formatCode="_(&quot;$&quot;* #,##0.00_);_(&quot;$&quot;* \(#,##0.00\);_(&quot;$&quot;* &quot;-&quot;??_);_(@_)">
                  <c:v>506118830.79000002</c:v>
                </c:pt>
                <c:pt idx="4" formatCode="_(&quot;$&quot;* #,##0.00_);_(&quot;$&quot;* \(#,##0.00\);_(&quot;$&quot;* &quot;-&quot;??_);_(@_)">
                  <c:v>552323077.36000001</c:v>
                </c:pt>
                <c:pt idx="5" formatCode="_(&quot;$&quot;* #,##0.00_);_(&quot;$&quot;* \(#,##0.00\);_(&quot;$&quot;* &quot;-&quot;??_);_(@_)">
                  <c:v>422146213.12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EA8A-43E3-9396-7DE2851F5D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23335104"/>
        <c:axId val="1823335520"/>
      </c:barChart>
      <c:catAx>
        <c:axId val="1823335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823335520"/>
        <c:crosses val="autoZero"/>
        <c:auto val="1"/>
        <c:lblAlgn val="ctr"/>
        <c:lblOffset val="100"/>
        <c:noMultiLvlLbl val="0"/>
      </c:catAx>
      <c:valAx>
        <c:axId val="1823335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.00_);[Red]\(&quot;$&quot;#,##0.0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823335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spc="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s-MX" sz="1800" b="1">
                <a:solidFill>
                  <a:schemeClr val="tx2"/>
                </a:solidFill>
              </a:rPr>
              <a:t>Dirección de Catastro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spc="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Hoja12!$A$18</c:f>
              <c:strCache>
                <c:ptCount val="1"/>
                <c:pt idx="0">
                  <c:v>Historial Catastral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Hoja12!$B$17</c:f>
              <c:strCache>
                <c:ptCount val="1"/>
                <c:pt idx="0">
                  <c:v>Total </c:v>
                </c:pt>
              </c:strCache>
            </c:strRef>
          </c:cat>
          <c:val>
            <c:numRef>
              <c:f>Hoja12!$B$18</c:f>
              <c:numCache>
                <c:formatCode>General</c:formatCode>
                <c:ptCount val="1"/>
                <c:pt idx="0">
                  <c:v>354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46-4CE2-BF81-C440D4A1B30E}"/>
            </c:ext>
          </c:extLst>
        </c:ser>
        <c:ser>
          <c:idx val="1"/>
          <c:order val="1"/>
          <c:tx>
            <c:strRef>
              <c:f>Hoja12!$A$19</c:f>
              <c:strCache>
                <c:ptCount val="1"/>
                <c:pt idx="0">
                  <c:v>Dictamen Catastral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Hoja12!$B$17</c:f>
              <c:strCache>
                <c:ptCount val="1"/>
                <c:pt idx="0">
                  <c:v>Total </c:v>
                </c:pt>
              </c:strCache>
            </c:strRef>
          </c:cat>
          <c:val>
            <c:numRef>
              <c:f>Hoja12!$B$19</c:f>
              <c:numCache>
                <c:formatCode>General</c:formatCode>
                <c:ptCount val="1"/>
                <c:pt idx="0">
                  <c:v>374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E46-4CE2-BF81-C440D4A1B30E}"/>
            </c:ext>
          </c:extLst>
        </c:ser>
        <c:ser>
          <c:idx val="2"/>
          <c:order val="2"/>
          <c:tx>
            <c:strRef>
              <c:f>Hoja12!$A$20</c:f>
              <c:strCache>
                <c:ptCount val="1"/>
                <c:pt idx="0">
                  <c:v>Avalúo ordinario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Hoja12!$B$17</c:f>
              <c:strCache>
                <c:ptCount val="1"/>
                <c:pt idx="0">
                  <c:v>Total </c:v>
                </c:pt>
              </c:strCache>
            </c:strRef>
          </c:cat>
          <c:val>
            <c:numRef>
              <c:f>Hoja12!$B$20</c:f>
              <c:numCache>
                <c:formatCode>#,##0</c:formatCode>
                <c:ptCount val="1"/>
                <c:pt idx="0">
                  <c:v>2620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E46-4CE2-BF81-C440D4A1B30E}"/>
            </c:ext>
          </c:extLst>
        </c:ser>
        <c:ser>
          <c:idx val="3"/>
          <c:order val="3"/>
          <c:tx>
            <c:strRef>
              <c:f>Hoja12!$A$21</c:f>
              <c:strCache>
                <c:ptCount val="1"/>
                <c:pt idx="0">
                  <c:v>Avalúo Urgente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Hoja12!$B$17</c:f>
              <c:strCache>
                <c:ptCount val="1"/>
                <c:pt idx="0">
                  <c:v>Total </c:v>
                </c:pt>
              </c:strCache>
            </c:strRef>
          </c:cat>
          <c:val>
            <c:numRef>
              <c:f>Hoja12!$B$21</c:f>
              <c:numCache>
                <c:formatCode>General</c:formatCode>
                <c:ptCount val="1"/>
                <c:pt idx="0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E46-4CE2-BF81-C440D4A1B30E}"/>
            </c:ext>
          </c:extLst>
        </c:ser>
        <c:ser>
          <c:idx val="4"/>
          <c:order val="4"/>
          <c:tx>
            <c:strRef>
              <c:f>Hoja12!$A$22</c:f>
              <c:strCache>
                <c:ptCount val="1"/>
                <c:pt idx="0">
                  <c:v>Evalúo con Valor Referido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cat>
            <c:strRef>
              <c:f>Hoja12!$B$17</c:f>
              <c:strCache>
                <c:ptCount val="1"/>
                <c:pt idx="0">
                  <c:v>Total </c:v>
                </c:pt>
              </c:strCache>
            </c:strRef>
          </c:cat>
          <c:val>
            <c:numRef>
              <c:f>Hoja12!$B$22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E46-4CE2-BF81-C440D4A1B30E}"/>
            </c:ext>
          </c:extLst>
        </c:ser>
        <c:ser>
          <c:idx val="5"/>
          <c:order val="5"/>
          <c:tx>
            <c:strRef>
              <c:f>Hoja12!$A$23</c:f>
              <c:strCache>
                <c:ptCount val="1"/>
                <c:pt idx="0">
                  <c:v>Apertura de Cuentas Nuevas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Hoja12!$B$17</c:f>
              <c:strCache>
                <c:ptCount val="1"/>
                <c:pt idx="0">
                  <c:v>Total </c:v>
                </c:pt>
              </c:strCache>
            </c:strRef>
          </c:cat>
          <c:val>
            <c:numRef>
              <c:f>Hoja12!$B$23</c:f>
              <c:numCache>
                <c:formatCode>General</c:formatCode>
                <c:ptCount val="1"/>
                <c:pt idx="0">
                  <c:v>938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E46-4CE2-BF81-C440D4A1B30E}"/>
            </c:ext>
          </c:extLst>
        </c:ser>
        <c:ser>
          <c:idx val="6"/>
          <c:order val="6"/>
          <c:tx>
            <c:strRef>
              <c:f>Hoja12!$A$24</c:f>
              <c:strCache>
                <c:ptCount val="1"/>
                <c:pt idx="0">
                  <c:v>Manifestación de Construcción </c:v>
                </c:pt>
              </c:strCache>
            </c:strRef>
          </c:tx>
          <c:spPr>
            <a:solidFill>
              <a:schemeClr val="accent6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Hoja12!$B$17</c:f>
              <c:strCache>
                <c:ptCount val="1"/>
                <c:pt idx="0">
                  <c:v>Total </c:v>
                </c:pt>
              </c:strCache>
            </c:strRef>
          </c:cat>
          <c:val>
            <c:numRef>
              <c:f>Hoja12!$B$24</c:f>
              <c:numCache>
                <c:formatCode>General</c:formatCode>
                <c:ptCount val="1"/>
                <c:pt idx="0">
                  <c:v>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E46-4CE2-BF81-C440D4A1B30E}"/>
            </c:ext>
          </c:extLst>
        </c:ser>
        <c:ser>
          <c:idx val="7"/>
          <c:order val="7"/>
          <c:tx>
            <c:strRef>
              <c:f>Hoja12!$A$25</c:f>
              <c:strCache>
                <c:ptCount val="1"/>
                <c:pt idx="0">
                  <c:v>Traslado Sector</c:v>
                </c:pt>
              </c:strCache>
            </c:strRef>
          </c:tx>
          <c:spPr>
            <a:solidFill>
              <a:schemeClr val="accent5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Hoja12!$B$17</c:f>
              <c:strCache>
                <c:ptCount val="1"/>
                <c:pt idx="0">
                  <c:v>Total </c:v>
                </c:pt>
              </c:strCache>
            </c:strRef>
          </c:cat>
          <c:val>
            <c:numRef>
              <c:f>Hoja12!$B$25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E46-4CE2-BF81-C440D4A1B30E}"/>
            </c:ext>
          </c:extLst>
        </c:ser>
        <c:ser>
          <c:idx val="8"/>
          <c:order val="8"/>
          <c:tx>
            <c:strRef>
              <c:f>Hoja12!$A$26</c:f>
              <c:strCache>
                <c:ptCount val="1"/>
                <c:pt idx="0">
                  <c:v>Actualización de Valores</c:v>
                </c:pt>
              </c:strCache>
            </c:strRef>
          </c:tx>
          <c:spPr>
            <a:solidFill>
              <a:schemeClr val="accent4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C-9E46-4CE2-BF81-C440D4A1B30E}"/>
              </c:ext>
            </c:extLst>
          </c:dPt>
          <c:cat>
            <c:strRef>
              <c:f>Hoja12!$B$17</c:f>
              <c:strCache>
                <c:ptCount val="1"/>
                <c:pt idx="0">
                  <c:v>Total </c:v>
                </c:pt>
              </c:strCache>
            </c:strRef>
          </c:cat>
          <c:val>
            <c:numRef>
              <c:f>Hoja12!$B$26</c:f>
              <c:numCache>
                <c:formatCode>#,##0</c:formatCode>
                <c:ptCount val="1"/>
                <c:pt idx="0">
                  <c:v>5070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E46-4CE2-BF81-C440D4A1B30E}"/>
            </c:ext>
          </c:extLst>
        </c:ser>
        <c:ser>
          <c:idx val="9"/>
          <c:order val="9"/>
          <c:tx>
            <c:strRef>
              <c:f>Hoja12!$A$27</c:f>
              <c:strCache>
                <c:ptCount val="1"/>
                <c:pt idx="0">
                  <c:v>Rectificaciones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cat>
            <c:strRef>
              <c:f>Hoja12!$B$17</c:f>
              <c:strCache>
                <c:ptCount val="1"/>
                <c:pt idx="0">
                  <c:v>Total </c:v>
                </c:pt>
              </c:strCache>
            </c:strRef>
          </c:cat>
          <c:val>
            <c:numRef>
              <c:f>Hoja12!$B$27</c:f>
              <c:numCache>
                <c:formatCode>General</c:formatCode>
                <c:ptCount val="1"/>
                <c:pt idx="0">
                  <c:v>501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9E46-4CE2-BF81-C440D4A1B30E}"/>
            </c:ext>
          </c:extLst>
        </c:ser>
        <c:ser>
          <c:idx val="10"/>
          <c:order val="10"/>
          <c:tx>
            <c:strRef>
              <c:f>Hoja12!$A$28</c:f>
              <c:strCache>
                <c:ptCount val="1"/>
                <c:pt idx="0">
                  <c:v>Transmisiones Patrimoniales </c:v>
                </c:pt>
              </c:strCache>
            </c:strRef>
          </c:tx>
          <c:spPr>
            <a:solidFill>
              <a:schemeClr val="accent5">
                <a:lumMod val="80000"/>
              </a:schemeClr>
            </a:solidFill>
            <a:ln>
              <a:noFill/>
            </a:ln>
            <a:effectLst/>
          </c:spPr>
          <c:invertIfNegative val="0"/>
          <c:cat>
            <c:strRef>
              <c:f>Hoja12!$B$17</c:f>
              <c:strCache>
                <c:ptCount val="1"/>
                <c:pt idx="0">
                  <c:v>Total </c:v>
                </c:pt>
              </c:strCache>
            </c:strRef>
          </c:cat>
          <c:val>
            <c:numRef>
              <c:f>Hoja12!$B$28</c:f>
              <c:numCache>
                <c:formatCode>#,##0</c:formatCode>
                <c:ptCount val="1"/>
                <c:pt idx="0">
                  <c:v>3509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E46-4CE2-BF81-C440D4A1B30E}"/>
            </c:ext>
          </c:extLst>
        </c:ser>
        <c:ser>
          <c:idx val="11"/>
          <c:order val="11"/>
          <c:tx>
            <c:strRef>
              <c:f>Hoja12!$A$29</c:f>
              <c:strCache>
                <c:ptCount val="1"/>
                <c:pt idx="0">
                  <c:v>Trámites Varios 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Hoja12!$B$17</c:f>
              <c:strCache>
                <c:ptCount val="1"/>
                <c:pt idx="0">
                  <c:v>Total </c:v>
                </c:pt>
              </c:strCache>
            </c:strRef>
          </c:cat>
          <c:val>
            <c:numRef>
              <c:f>Hoja12!$B$29</c:f>
              <c:numCache>
                <c:formatCode>General</c:formatCode>
                <c:ptCount val="1"/>
                <c:pt idx="0">
                  <c:v>354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9E46-4CE2-BF81-C440D4A1B3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55549311"/>
        <c:axId val="455554303"/>
      </c:barChart>
      <c:catAx>
        <c:axId val="455549311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55554303"/>
        <c:crosses val="autoZero"/>
        <c:auto val="1"/>
        <c:lblAlgn val="ctr"/>
        <c:lblOffset val="100"/>
        <c:noMultiLvlLbl val="0"/>
      </c:catAx>
      <c:valAx>
        <c:axId val="45555430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555493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Dirección de Inpección</a:t>
            </a:r>
            <a:r>
              <a:rPr lang="es-MX" baseline="0"/>
              <a:t> y vigilancia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Hoja14!$A$2</c:f>
              <c:strCache>
                <c:ptCount val="1"/>
                <c:pt idx="0">
                  <c:v>Infracciones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Hoja14!$B$1</c:f>
              <c:strCache>
                <c:ptCount val="1"/>
                <c:pt idx="0">
                  <c:v>Total</c:v>
                </c:pt>
              </c:strCache>
            </c:strRef>
          </c:cat>
          <c:val>
            <c:numRef>
              <c:f>Hoja14!$B$2</c:f>
              <c:numCache>
                <c:formatCode>General</c:formatCode>
                <c:ptCount val="1"/>
                <c:pt idx="0">
                  <c:v>884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C3-45E7-8C4C-AA5C336861A5}"/>
            </c:ext>
          </c:extLst>
        </c:ser>
        <c:ser>
          <c:idx val="1"/>
          <c:order val="1"/>
          <c:tx>
            <c:strRef>
              <c:f>Hoja14!$A$3</c:f>
              <c:strCache>
                <c:ptCount val="1"/>
                <c:pt idx="0">
                  <c:v>Apercibimientos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Hoja14!$B$1</c:f>
              <c:strCache>
                <c:ptCount val="1"/>
                <c:pt idx="0">
                  <c:v>Total</c:v>
                </c:pt>
              </c:strCache>
            </c:strRef>
          </c:cat>
          <c:val>
            <c:numRef>
              <c:f>Hoja14!$B$3</c:f>
              <c:numCache>
                <c:formatCode>General</c:formatCode>
                <c:ptCount val="1"/>
                <c:pt idx="0">
                  <c:v>536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1C3-45E7-8C4C-AA5C336861A5}"/>
            </c:ext>
          </c:extLst>
        </c:ser>
        <c:ser>
          <c:idx val="2"/>
          <c:order val="2"/>
          <c:tx>
            <c:strRef>
              <c:f>Hoja14!$A$4</c:f>
              <c:strCache>
                <c:ptCount val="1"/>
                <c:pt idx="0">
                  <c:v>Orden De Visita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Hoja14!$B$1</c:f>
              <c:strCache>
                <c:ptCount val="1"/>
                <c:pt idx="0">
                  <c:v>Total</c:v>
                </c:pt>
              </c:strCache>
            </c:strRef>
          </c:cat>
          <c:val>
            <c:numRef>
              <c:f>Hoja14!$B$4</c:f>
              <c:numCache>
                <c:formatCode>General</c:formatCode>
                <c:ptCount val="1"/>
                <c:pt idx="0">
                  <c:v>454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1C3-45E7-8C4C-AA5C336861A5}"/>
            </c:ext>
          </c:extLst>
        </c:ser>
        <c:ser>
          <c:idx val="3"/>
          <c:order val="3"/>
          <c:tx>
            <c:strRef>
              <c:f>Hoja14!$A$5</c:f>
              <c:strCache>
                <c:ptCount val="1"/>
                <c:pt idx="0">
                  <c:v>Reportes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Hoja14!$B$1</c:f>
              <c:strCache>
                <c:ptCount val="1"/>
                <c:pt idx="0">
                  <c:v>Total</c:v>
                </c:pt>
              </c:strCache>
            </c:strRef>
          </c:cat>
          <c:val>
            <c:numRef>
              <c:f>Hoja14!$B$5</c:f>
              <c:numCache>
                <c:formatCode>General</c:formatCode>
                <c:ptCount val="1"/>
                <c:pt idx="0">
                  <c:v>163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1C3-45E7-8C4C-AA5C336861A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455540991"/>
        <c:axId val="455548479"/>
      </c:barChart>
      <c:catAx>
        <c:axId val="45554099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55548479"/>
        <c:crosses val="autoZero"/>
        <c:auto val="1"/>
        <c:lblAlgn val="ctr"/>
        <c:lblOffset val="100"/>
        <c:noMultiLvlLbl val="0"/>
      </c:catAx>
      <c:valAx>
        <c:axId val="455548479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555409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s-MX" sz="1600" b="1">
                <a:solidFill>
                  <a:schemeClr val="tx2"/>
                </a:solidFill>
              </a:rPr>
              <a:t>Jefatura de Mercados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Hoja12!$A$2:$A$5</c:f>
              <c:strCache>
                <c:ptCount val="4"/>
                <c:pt idx="0">
                  <c:v>Atender y dar solución a  las necesidades de los locatarios  del mercado municipal</c:v>
                </c:pt>
                <c:pt idx="1">
                  <c:v>Autorización de puestos semifijos </c:v>
                </c:pt>
                <c:pt idx="2">
                  <c:v>Mantenimiento a sanitarios en mercado municipal</c:v>
                </c:pt>
                <c:pt idx="3">
                  <c:v>Mantenimiento a sanitarios en plaza Benito Juárez </c:v>
                </c:pt>
              </c:strCache>
            </c:strRef>
          </c:cat>
          <c:val>
            <c:numRef>
              <c:f>Hoja12!$B$2:$B$5</c:f>
              <c:numCache>
                <c:formatCode>General</c:formatCode>
                <c:ptCount val="4"/>
                <c:pt idx="0">
                  <c:v>53</c:v>
                </c:pt>
                <c:pt idx="1">
                  <c:v>20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C5-44F4-AA8F-A17FA181CE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16906703"/>
        <c:axId val="416907535"/>
      </c:barChart>
      <c:catAx>
        <c:axId val="41690670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16907535"/>
        <c:crosses val="autoZero"/>
        <c:auto val="1"/>
        <c:lblAlgn val="ctr"/>
        <c:lblOffset val="100"/>
        <c:noMultiLvlLbl val="0"/>
      </c:catAx>
      <c:valAx>
        <c:axId val="41690753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1690670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s-MX" sz="1100">
                <a:latin typeface="Arial" panose="020B0604020202020204" pitchFamily="34" charset="0"/>
                <a:cs typeface="Arial" panose="020B0604020202020204" pitchFamily="34" charset="0"/>
              </a:rPr>
              <a:t>COMPARATIVA INGRESOS PROPIOS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Hoja2!$A$3</c:f>
              <c:strCache>
                <c:ptCount val="1"/>
                <c:pt idx="0">
                  <c:v>MONTO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09AE-40B2-9031-03C712C462B2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09AE-40B2-9031-03C712C462B2}"/>
              </c:ext>
            </c:extLst>
          </c:dPt>
          <c:dPt>
            <c:idx val="2"/>
            <c:invertIfNegative val="0"/>
            <c:bubble3D val="0"/>
            <c:spPr>
              <a:solidFill>
                <a:srgbClr val="FF66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09AE-40B2-9031-03C712C462B2}"/>
              </c:ext>
            </c:extLst>
          </c:dPt>
          <c:dPt>
            <c:idx val="3"/>
            <c:invertIfNegative val="0"/>
            <c:bubble3D val="0"/>
            <c:spPr>
              <a:solidFill>
                <a:srgbClr val="FF66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09AE-40B2-9031-03C712C462B2}"/>
              </c:ext>
            </c:extLst>
          </c:dPt>
          <c:dPt>
            <c:idx val="4"/>
            <c:invertIfNegative val="0"/>
            <c:bubble3D val="0"/>
            <c:spPr>
              <a:solidFill>
                <a:srgbClr val="FF66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09AE-40B2-9031-03C712C462B2}"/>
              </c:ext>
            </c:extLst>
          </c:dPt>
          <c:dPt>
            <c:idx val="5"/>
            <c:invertIfNegative val="0"/>
            <c:bubble3D val="0"/>
            <c:spPr>
              <a:solidFill>
                <a:srgbClr val="FF66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09AE-40B2-9031-03C712C462B2}"/>
              </c:ext>
            </c:extLst>
          </c:dPt>
          <c:cat>
            <c:strRef>
              <c:f>Hoja2!$B$2:$G$2</c:f>
              <c:strCach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ENERO A JULIO 2022</c:v>
                </c:pt>
              </c:strCache>
            </c:strRef>
          </c:cat>
          <c:val>
            <c:numRef>
              <c:f>Hoja2!$B$3:$G$3</c:f>
              <c:numCache>
                <c:formatCode>"$"#,##0.00_);[Red]\("$"#,##0.00\)</c:formatCode>
                <c:ptCount val="6"/>
                <c:pt idx="0">
                  <c:v>129462986.39</c:v>
                </c:pt>
                <c:pt idx="1">
                  <c:v>157957598.91</c:v>
                </c:pt>
                <c:pt idx="2">
                  <c:v>179515613.62</c:v>
                </c:pt>
                <c:pt idx="3">
                  <c:v>211859936.30000001</c:v>
                </c:pt>
                <c:pt idx="4" formatCode="_(&quot;$&quot;* #,##0.00_);_(&quot;$&quot;* \(#,##0.00\);_(&quot;$&quot;* &quot;-&quot;??_);_(@_)">
                  <c:v>251609515.95999998</c:v>
                </c:pt>
                <c:pt idx="5" formatCode="_(&quot;$&quot;* #,##0.00_);_(&quot;$&quot;* \(#,##0.00\);_(&quot;$&quot;* &quot;-&quot;??_);_(@_)">
                  <c:v>177001881.36000001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09AE-40B2-9031-03C712C462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69144528"/>
        <c:axId val="1669145360"/>
      </c:barChart>
      <c:catAx>
        <c:axId val="1669144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669145360"/>
        <c:crosses val="autoZero"/>
        <c:auto val="1"/>
        <c:lblAlgn val="ctr"/>
        <c:lblOffset val="100"/>
        <c:noMultiLvlLbl val="0"/>
      </c:catAx>
      <c:valAx>
        <c:axId val="1669145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.00_);[Red]\(&quot;$&quot;#,##0.0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669144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cgdFjco6LEWDy1qaAkH7iDwWnw==">AMUW2mV5gENk0rr2ZnjxZuFqwurBIR5UTQkyi5yFy0e4j2/bCLAP/8QVKUhtw6qohIxeSu/CZ8vFkFTA9wWANNX20MXGnxbe2hgMEx3Z3tgQgr4f41P9aObJWxfJiIGrWe31tAWcOlVY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2022-04-13T22:59:00Z</dcterms:created>
  <dc:creator>Lenovo</dc:creator>
</cp:coreProperties>
</file>