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62AA" w14:textId="77777777" w:rsidR="00A21B10" w:rsidRPr="003600DC" w:rsidRDefault="00A21B10" w:rsidP="00A21B10">
      <w:pPr>
        <w:pStyle w:val="Sinespaciado"/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3600DC">
        <w:rPr>
          <w:rFonts w:ascii="Arial" w:hAnsi="Arial" w:cs="Arial"/>
          <w:b/>
          <w:sz w:val="28"/>
          <w:szCs w:val="28"/>
          <w:lang w:val="es-ES_tradnl"/>
        </w:rPr>
        <w:t>EL SALTO, JALISCO.</w:t>
      </w:r>
    </w:p>
    <w:p w14:paraId="6453E521" w14:textId="2E5C6BF4" w:rsidR="00A21B10" w:rsidRPr="003600DC" w:rsidRDefault="00A21B10" w:rsidP="00A21B10">
      <w:pPr>
        <w:pStyle w:val="Sinespaciado"/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3600DC">
        <w:rPr>
          <w:rFonts w:ascii="Arial" w:hAnsi="Arial" w:cs="Arial"/>
          <w:b/>
          <w:sz w:val="28"/>
          <w:szCs w:val="28"/>
          <w:lang w:val="es-ES_tradnl"/>
        </w:rPr>
        <w:t>PRESUPUESTO DE EGRESOS PARA EL EJERCICIO FISCAL 202</w:t>
      </w:r>
      <w:r w:rsidR="008C4588">
        <w:rPr>
          <w:rFonts w:ascii="Arial" w:hAnsi="Arial" w:cs="Arial"/>
          <w:b/>
          <w:sz w:val="28"/>
          <w:szCs w:val="28"/>
          <w:lang w:val="es-ES_tradnl"/>
        </w:rPr>
        <w:t>1</w:t>
      </w:r>
      <w:r w:rsidRPr="003600DC">
        <w:rPr>
          <w:rFonts w:ascii="Arial" w:hAnsi="Arial" w:cs="Arial"/>
          <w:b/>
          <w:sz w:val="28"/>
          <w:szCs w:val="28"/>
          <w:lang w:val="es-ES_tradnl"/>
        </w:rPr>
        <w:t>.</w:t>
      </w:r>
    </w:p>
    <w:p w14:paraId="018A06DF" w14:textId="77777777" w:rsidR="00A21B10" w:rsidRPr="003600DC" w:rsidRDefault="00A21B10" w:rsidP="00A21B10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736515C" w14:textId="77777777" w:rsidR="00A21B10" w:rsidRPr="003600DC" w:rsidRDefault="00A21B10" w:rsidP="00A21B10">
      <w:pPr>
        <w:pStyle w:val="Sinespaciado"/>
        <w:spacing w:line="360" w:lineRule="auto"/>
        <w:jc w:val="center"/>
        <w:rPr>
          <w:rFonts w:ascii="Arial" w:hAnsi="Arial" w:cs="Arial"/>
          <w:bCs/>
          <w:sz w:val="24"/>
          <w:szCs w:val="24"/>
          <w:lang w:val="es-ES_tradnl"/>
        </w:rPr>
      </w:pPr>
      <w:r w:rsidRPr="003600DC">
        <w:rPr>
          <w:rFonts w:ascii="Arial" w:hAnsi="Arial" w:cs="Arial"/>
          <w:bCs/>
          <w:sz w:val="24"/>
          <w:szCs w:val="24"/>
          <w:lang w:val="es-ES_tradnl"/>
        </w:rPr>
        <w:t>ANEXO CON DISPOSICIONES EN MATERIA DE LEY DE COMPRAS GUBERNAMENTALES, ENAJENACIONES Y CONTRATACIÓN DE SERVICIOS DEL ESTADO DE JALISCO Y SUS MUNICIPIOS.</w:t>
      </w:r>
    </w:p>
    <w:p w14:paraId="69DC00AD" w14:textId="77777777" w:rsidR="00FE6234" w:rsidRPr="003600DC" w:rsidRDefault="00FE6234" w:rsidP="00FE623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812D26A" w14:textId="77777777" w:rsidR="003346CE" w:rsidRPr="003600DC" w:rsidRDefault="00FE6234" w:rsidP="003346C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600DC">
        <w:rPr>
          <w:rFonts w:ascii="Arial" w:hAnsi="Arial" w:cs="Arial"/>
          <w:b/>
          <w:sz w:val="24"/>
          <w:szCs w:val="24"/>
          <w:lang w:val="es-ES_tradnl"/>
        </w:rPr>
        <w:t>Primer</w:t>
      </w:r>
      <w:r w:rsidR="003346CE" w:rsidRPr="003600DC">
        <w:rPr>
          <w:rFonts w:ascii="Arial" w:hAnsi="Arial" w:cs="Arial"/>
          <w:b/>
          <w:sz w:val="24"/>
          <w:szCs w:val="24"/>
          <w:lang w:val="es-ES_tradnl"/>
        </w:rPr>
        <w:t>a</w:t>
      </w:r>
      <w:r w:rsidR="00865DA0" w:rsidRPr="003600DC">
        <w:rPr>
          <w:rFonts w:ascii="Arial" w:hAnsi="Arial" w:cs="Arial"/>
          <w:b/>
          <w:sz w:val="24"/>
          <w:szCs w:val="24"/>
          <w:lang w:val="es-ES_tradnl"/>
        </w:rPr>
        <w:t xml:space="preserve"> disposición</w:t>
      </w:r>
      <w:r w:rsidRPr="003600DC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  <w:r w:rsidR="003346CE" w:rsidRPr="003600DC">
        <w:rPr>
          <w:rFonts w:ascii="Arial" w:hAnsi="Arial" w:cs="Arial"/>
          <w:sz w:val="24"/>
          <w:szCs w:val="24"/>
          <w:lang w:val="es-ES_tradnl"/>
        </w:rPr>
        <w:t>Para efectos de</w:t>
      </w:r>
      <w:r w:rsidR="00865DA0" w:rsidRPr="003600D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346CE" w:rsidRPr="003600DC">
        <w:rPr>
          <w:rFonts w:ascii="Arial" w:hAnsi="Arial" w:cs="Arial"/>
          <w:sz w:val="24"/>
          <w:szCs w:val="24"/>
          <w:lang w:val="es-ES_tradnl"/>
        </w:rPr>
        <w:t>l</w:t>
      </w:r>
      <w:r w:rsidR="00865DA0" w:rsidRPr="003600DC">
        <w:rPr>
          <w:rFonts w:ascii="Arial" w:hAnsi="Arial" w:cs="Arial"/>
          <w:sz w:val="24"/>
          <w:szCs w:val="24"/>
          <w:lang w:val="es-ES_tradnl"/>
        </w:rPr>
        <w:t>o señalado en el</w:t>
      </w:r>
      <w:r w:rsidR="003346CE" w:rsidRPr="003600DC">
        <w:rPr>
          <w:rFonts w:ascii="Arial" w:hAnsi="Arial" w:cs="Arial"/>
          <w:sz w:val="24"/>
          <w:szCs w:val="24"/>
          <w:lang w:val="es-ES_tradnl"/>
        </w:rPr>
        <w:t xml:space="preserve"> artículo 72 de Ley de Compras Gubernamentales, Enajenaciones y Contratación de Servicios del Estado de Jalisco y sus Municipios, se decretan los siguientes montos para modalidades de licitación pública:</w:t>
      </w:r>
    </w:p>
    <w:p w14:paraId="451EFB55" w14:textId="77777777" w:rsidR="003346CE" w:rsidRPr="003600DC" w:rsidRDefault="003346CE" w:rsidP="003346C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09CC904" w14:textId="77777777" w:rsidR="003346CE" w:rsidRPr="003600DC" w:rsidRDefault="003346CE" w:rsidP="003346CE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r w:rsidRPr="003600DC">
        <w:rPr>
          <w:rFonts w:ascii="Arial" w:hAnsi="Arial" w:cs="Arial"/>
          <w:b/>
          <w:sz w:val="24"/>
          <w:szCs w:val="24"/>
          <w:lang w:val="es-ES_tradnl"/>
        </w:rPr>
        <w:t>I.</w:t>
      </w:r>
      <w:r w:rsidRPr="003600DC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Licitación pública con concurrencia del Comité de Adquisiciones: Cuando el monto del bien o servicio por contratarse sea mayor a $ 1´000,000.00 (un millón de pesos 00/100 M.N.), sin incluir impuestos.</w:t>
      </w:r>
    </w:p>
    <w:p w14:paraId="29D86FD4" w14:textId="77777777" w:rsidR="003346CE" w:rsidRPr="003600DC" w:rsidRDefault="003346CE" w:rsidP="003346CE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</w:p>
    <w:p w14:paraId="6F46D587" w14:textId="77777777" w:rsidR="003346CE" w:rsidRPr="003600DC" w:rsidRDefault="003346CE" w:rsidP="003346CE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r w:rsidRPr="003600DC">
        <w:rPr>
          <w:rFonts w:ascii="Arial" w:hAnsi="Arial" w:cs="Arial"/>
          <w:b/>
          <w:color w:val="000000" w:themeColor="text1"/>
          <w:sz w:val="24"/>
          <w:szCs w:val="24"/>
          <w:lang w:val="es-ES_tradnl" w:eastAsia="es-ES"/>
        </w:rPr>
        <w:t>II.</w:t>
      </w:r>
      <w:r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Licitación pública sin concurrencia del Comité de Adquisiciones: Cuando el monto del bien o servicio sea de hasta $ 1´000,000.00 (un millón de pesos 00/100 M.N.), sin incluir impuestos.</w:t>
      </w:r>
    </w:p>
    <w:p w14:paraId="0B7AA11F" w14:textId="77777777" w:rsidR="003346CE" w:rsidRPr="003600DC" w:rsidRDefault="003346CE" w:rsidP="00FE623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A83C626" w14:textId="77777777" w:rsidR="00FE6234" w:rsidRPr="003600DC" w:rsidRDefault="00FE6234" w:rsidP="00FE6234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r w:rsidRPr="003600DC">
        <w:rPr>
          <w:rFonts w:ascii="Arial" w:hAnsi="Arial" w:cs="Arial"/>
          <w:b/>
          <w:sz w:val="24"/>
          <w:szCs w:val="24"/>
          <w:lang w:val="es-ES_tradnl"/>
        </w:rPr>
        <w:t>Segund</w:t>
      </w:r>
      <w:r w:rsidR="00865DA0" w:rsidRPr="003600DC">
        <w:rPr>
          <w:rFonts w:ascii="Arial" w:hAnsi="Arial" w:cs="Arial"/>
          <w:b/>
          <w:sz w:val="24"/>
          <w:szCs w:val="24"/>
          <w:lang w:val="es-ES_tradnl"/>
        </w:rPr>
        <w:t>a disposición</w:t>
      </w:r>
      <w:r w:rsidRPr="003600DC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  <w:r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En aras de especificar lo estipulado por el artículo 24, párrafo 1, fracción X, de la </w:t>
      </w:r>
      <w:r w:rsidRPr="003600DC">
        <w:rPr>
          <w:rFonts w:ascii="Arial" w:hAnsi="Arial" w:cs="Arial"/>
          <w:sz w:val="24"/>
          <w:szCs w:val="24"/>
          <w:lang w:val="es-ES_tradnl"/>
        </w:rPr>
        <w:t>Ley de Compras Gubernamentales, Enajenaciones y Contratación de Servicios del Estado de Jalisco y sus Municipios, se decreta lo siguiente:</w:t>
      </w:r>
    </w:p>
    <w:p w14:paraId="2C55A03C" w14:textId="77777777" w:rsidR="00FE6234" w:rsidRPr="003600DC" w:rsidRDefault="00FE6234" w:rsidP="00FE623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BF0DE28" w14:textId="77777777" w:rsidR="00FE6234" w:rsidRPr="003600DC" w:rsidRDefault="00FE6234" w:rsidP="00FE623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600DC">
        <w:rPr>
          <w:rFonts w:ascii="Arial" w:hAnsi="Arial" w:cs="Arial"/>
          <w:b/>
          <w:color w:val="000000" w:themeColor="text1"/>
          <w:sz w:val="24"/>
          <w:szCs w:val="24"/>
          <w:lang w:val="es-ES_tradnl" w:eastAsia="es-ES"/>
        </w:rPr>
        <w:t>I.</w:t>
      </w:r>
      <w:r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Se delega al titular de la </w:t>
      </w:r>
      <w:r w:rsidR="006D1FB8"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Dirección de Adquisiciones</w:t>
      </w:r>
      <w:r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, la facultad de dictaminar la procedencia de excepción a licitación pública, cuando la compra, arrendamiento o servicio</w:t>
      </w:r>
      <w:r w:rsidR="00865DA0"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por contratarse</w:t>
      </w:r>
      <w:r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, se </w:t>
      </w:r>
      <w:r w:rsidRPr="003600DC">
        <w:rPr>
          <w:rFonts w:ascii="Arial" w:hAnsi="Arial" w:cs="Arial"/>
          <w:sz w:val="24"/>
          <w:szCs w:val="24"/>
          <w:lang w:val="es-ES_tradnl"/>
        </w:rPr>
        <w:t xml:space="preserve">ubique en alguno de los supuestos del artículo 73 de la Ley de Compras Gubernamentales, Enajenaciones y Contratación de Servicios del Estado de Jalisco y sus Municipios y su monto sea de hasta </w:t>
      </w:r>
      <w:r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$ </w:t>
      </w:r>
      <w:r w:rsidR="00865DA0"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500</w:t>
      </w:r>
      <w:r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,000.00 (</w:t>
      </w:r>
      <w:r w:rsidR="00865DA0"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quinientos</w:t>
      </w:r>
      <w:r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mil pesos 00/100 M.N.), sin incluir impuestos.</w:t>
      </w:r>
      <w:r w:rsidRPr="003600DC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287A5DC" w14:textId="77777777" w:rsidR="00FE6234" w:rsidRPr="003600DC" w:rsidRDefault="00FE6234" w:rsidP="00FE6234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</w:p>
    <w:p w14:paraId="78F2B02D" w14:textId="77777777" w:rsidR="006D1FB8" w:rsidRDefault="00FE6234" w:rsidP="00FE6234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r w:rsidRPr="003600DC">
        <w:rPr>
          <w:rFonts w:ascii="Arial" w:hAnsi="Arial" w:cs="Arial"/>
          <w:b/>
          <w:color w:val="000000" w:themeColor="text1"/>
          <w:sz w:val="24"/>
          <w:szCs w:val="24"/>
          <w:lang w:val="es-ES_tradnl" w:eastAsia="es-ES"/>
        </w:rPr>
        <w:t>II.</w:t>
      </w:r>
      <w:r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El Comité de Adquisiciones deberá dictaminar la procedencia de excepción a licitación pública, cuando la compra, arrendamiento o servicio, se </w:t>
      </w:r>
      <w:r w:rsidRPr="003600DC">
        <w:rPr>
          <w:rFonts w:ascii="Arial" w:hAnsi="Arial" w:cs="Arial"/>
          <w:sz w:val="24"/>
          <w:szCs w:val="24"/>
          <w:lang w:val="es-ES_tradnl"/>
        </w:rPr>
        <w:t xml:space="preserve">ubique en alguno de los supuestos del artículo 73 de la Ley de Compras Gubernamentales, Enajenaciones y Contratación de Servicios del Estado de Jalisco y sus Municipios y su monto sea mayor a </w:t>
      </w:r>
      <w:r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$ </w:t>
      </w:r>
      <w:r w:rsidR="006D1FB8"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500</w:t>
      </w:r>
      <w:r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,000.00 (</w:t>
      </w:r>
      <w:r w:rsidR="006D1FB8"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quinientos</w:t>
      </w:r>
      <w:r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mil pesos 00/100 M.N.), sin incluir impuestos.</w:t>
      </w:r>
    </w:p>
    <w:p w14:paraId="115DA496" w14:textId="77777777" w:rsidR="003600DC" w:rsidRPr="003600DC" w:rsidRDefault="003600DC" w:rsidP="00FE6234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</w:p>
    <w:p w14:paraId="507FDA3E" w14:textId="77777777" w:rsidR="00FE6234" w:rsidRPr="003600DC" w:rsidRDefault="006D1FB8" w:rsidP="00FE623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600DC">
        <w:rPr>
          <w:rFonts w:ascii="Arial" w:hAnsi="Arial" w:cs="Arial"/>
          <w:b/>
          <w:sz w:val="24"/>
          <w:szCs w:val="24"/>
          <w:lang w:val="es-ES_tradnl"/>
        </w:rPr>
        <w:t>Disposición tercera</w:t>
      </w:r>
      <w:r w:rsidR="00FE6234" w:rsidRPr="003600DC">
        <w:rPr>
          <w:rFonts w:ascii="Arial" w:hAnsi="Arial" w:cs="Arial"/>
          <w:b/>
          <w:sz w:val="24"/>
          <w:szCs w:val="24"/>
          <w:lang w:val="es-ES_tradnl"/>
        </w:rPr>
        <w:t>.</w:t>
      </w:r>
      <w:r w:rsidR="00FE6234" w:rsidRPr="003600DC">
        <w:rPr>
          <w:rFonts w:ascii="Arial" w:hAnsi="Arial" w:cs="Arial"/>
          <w:sz w:val="24"/>
          <w:szCs w:val="24"/>
          <w:lang w:val="es-ES_tradnl"/>
        </w:rPr>
        <w:t xml:space="preserve"> A fin de regular el artículo 46 de la Ley de Compras Gubernamentales, Enajenaciones y Contratación de Servicios del Estado de Jalisco y sus Municipios, en materia de fondo revolvente, se establece lo siguiente:</w:t>
      </w:r>
    </w:p>
    <w:p w14:paraId="53E46EDD" w14:textId="77777777" w:rsidR="006D1FB8" w:rsidRPr="003600DC" w:rsidRDefault="006D1FB8" w:rsidP="00FE623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7DF52A" w14:textId="77777777" w:rsidR="006D1FB8" w:rsidRPr="003600DC" w:rsidRDefault="00FE6234" w:rsidP="00FE6234">
      <w:pPr>
        <w:pStyle w:val="Sinespaciado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00DC">
        <w:rPr>
          <w:rFonts w:ascii="Arial" w:hAnsi="Arial" w:cs="Arial"/>
          <w:b/>
          <w:sz w:val="24"/>
          <w:szCs w:val="24"/>
          <w:lang w:val="es-ES_tradnl"/>
        </w:rPr>
        <w:t>I.</w:t>
      </w:r>
      <w:r w:rsidRPr="003600DC">
        <w:rPr>
          <w:rFonts w:ascii="Arial" w:hAnsi="Arial" w:cs="Arial"/>
          <w:sz w:val="24"/>
          <w:szCs w:val="24"/>
          <w:lang w:val="es-ES_tradnl"/>
        </w:rPr>
        <w:t xml:space="preserve"> El fondo revolvente general de la Administración Pública Municipal, corresponde a la </w:t>
      </w:r>
      <w:r w:rsidR="006D1FB8" w:rsidRPr="003600DC">
        <w:rPr>
          <w:rFonts w:ascii="Arial" w:hAnsi="Arial" w:cs="Arial"/>
          <w:sz w:val="24"/>
          <w:szCs w:val="24"/>
        </w:rPr>
        <w:t xml:space="preserve">cantidad equivalente al </w:t>
      </w:r>
      <w:r w:rsidR="00FD00E9" w:rsidRPr="003600DC">
        <w:rPr>
          <w:rFonts w:ascii="Arial" w:hAnsi="Arial" w:cs="Arial"/>
          <w:sz w:val="24"/>
          <w:szCs w:val="24"/>
        </w:rPr>
        <w:t>15 quince</w:t>
      </w:r>
      <w:r w:rsidR="006D1FB8" w:rsidRPr="003600DC">
        <w:rPr>
          <w:rFonts w:ascii="Arial" w:hAnsi="Arial" w:cs="Arial"/>
          <w:sz w:val="24"/>
          <w:szCs w:val="24"/>
        </w:rPr>
        <w:t xml:space="preserve"> por ciento de la suma de los </w:t>
      </w:r>
      <w:r w:rsidR="006D1FB8" w:rsidRPr="003600DC">
        <w:rPr>
          <w:rFonts w:ascii="Arial" w:eastAsia="Times New Roman" w:hAnsi="Arial" w:cs="Arial"/>
          <w:sz w:val="24"/>
          <w:szCs w:val="24"/>
        </w:rPr>
        <w:t>capítulos de Materiales y Suministros, Servicios Generales, así como Bienes Muebles e Inmuebles del Presupuesto de Egresos.</w:t>
      </w:r>
    </w:p>
    <w:p w14:paraId="64334723" w14:textId="77777777" w:rsidR="00FD00E9" w:rsidRPr="003600DC" w:rsidRDefault="00FD00E9" w:rsidP="00FE6234">
      <w:pPr>
        <w:pStyle w:val="Sinespaciado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3D05B9" w14:textId="77777777" w:rsidR="00FD00E9" w:rsidRPr="003600DC" w:rsidRDefault="00FD00E9" w:rsidP="00FE623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600DC">
        <w:rPr>
          <w:rFonts w:ascii="Arial" w:eastAsia="Times New Roman" w:hAnsi="Arial" w:cs="Arial"/>
          <w:sz w:val="24"/>
          <w:szCs w:val="24"/>
        </w:rPr>
        <w:t xml:space="preserve">Dentro del porcentaje descrito, igualmente deberán considerarse las </w:t>
      </w:r>
      <w:r w:rsidRPr="003600DC">
        <w:rPr>
          <w:rFonts w:ascii="Arial" w:hAnsi="Arial" w:cs="Arial"/>
          <w:sz w:val="24"/>
          <w:szCs w:val="24"/>
          <w:lang w:val="es-ES_tradnl"/>
        </w:rPr>
        <w:t xml:space="preserve">compras, arrendamiento o contratación de servicios que </w:t>
      </w:r>
      <w:r w:rsidRPr="003600D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se </w:t>
      </w:r>
      <w:r w:rsidRPr="003600DC">
        <w:rPr>
          <w:rFonts w:ascii="Arial" w:hAnsi="Arial" w:cs="Arial"/>
          <w:sz w:val="24"/>
          <w:szCs w:val="24"/>
          <w:lang w:val="es-ES_tradnl"/>
        </w:rPr>
        <w:t xml:space="preserve">ubique en alguno de los supuestos de excepción a licitación pública del artículo 73 de la Ley de Compras Gubernamentales, Enajenaciones y Contratación de Servicios del Estado de Jalisco y sus Municipios. </w:t>
      </w:r>
      <w:r w:rsidRPr="003600D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6115549" w14:textId="77777777" w:rsidR="00FE6234" w:rsidRPr="003600DC" w:rsidRDefault="00FE6234" w:rsidP="00FE623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201AB83" w14:textId="77777777" w:rsidR="00FD00E9" w:rsidRPr="003600DC" w:rsidRDefault="00FE6234" w:rsidP="00FE623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600DC">
        <w:rPr>
          <w:rFonts w:ascii="Arial" w:hAnsi="Arial" w:cs="Arial"/>
          <w:b/>
          <w:sz w:val="24"/>
          <w:szCs w:val="24"/>
          <w:lang w:val="es-ES_tradnl"/>
        </w:rPr>
        <w:t xml:space="preserve">II. </w:t>
      </w:r>
      <w:r w:rsidRPr="003600DC">
        <w:rPr>
          <w:rFonts w:ascii="Arial" w:hAnsi="Arial" w:cs="Arial"/>
          <w:sz w:val="24"/>
          <w:szCs w:val="24"/>
          <w:lang w:val="es-ES_tradnl"/>
        </w:rPr>
        <w:t>Las compras</w:t>
      </w:r>
      <w:r w:rsidR="00FD00E9" w:rsidRPr="003600DC">
        <w:rPr>
          <w:rFonts w:ascii="Arial" w:hAnsi="Arial" w:cs="Arial"/>
          <w:sz w:val="24"/>
          <w:szCs w:val="24"/>
          <w:lang w:val="es-ES_tradnl"/>
        </w:rPr>
        <w:t>, arrendamiento o contratación de servicios a</w:t>
      </w:r>
      <w:r w:rsidRPr="003600DC">
        <w:rPr>
          <w:rFonts w:ascii="Arial" w:hAnsi="Arial" w:cs="Arial"/>
          <w:sz w:val="24"/>
          <w:szCs w:val="24"/>
          <w:lang w:val="es-ES_tradnl"/>
        </w:rPr>
        <w:t xml:space="preserve"> realiza</w:t>
      </w:r>
      <w:r w:rsidR="00FD00E9" w:rsidRPr="003600DC">
        <w:rPr>
          <w:rFonts w:ascii="Arial" w:hAnsi="Arial" w:cs="Arial"/>
          <w:sz w:val="24"/>
          <w:szCs w:val="24"/>
          <w:lang w:val="es-ES_tradnl"/>
        </w:rPr>
        <w:t>rse</w:t>
      </w:r>
      <w:r w:rsidRPr="003600D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1FB8" w:rsidRPr="003600DC">
        <w:rPr>
          <w:rFonts w:ascii="Arial" w:hAnsi="Arial" w:cs="Arial"/>
          <w:sz w:val="24"/>
          <w:szCs w:val="24"/>
          <w:lang w:val="es-ES_tradnl"/>
        </w:rPr>
        <w:t>con recursos del</w:t>
      </w:r>
      <w:r w:rsidRPr="003600DC">
        <w:rPr>
          <w:rFonts w:ascii="Arial" w:hAnsi="Arial" w:cs="Arial"/>
          <w:sz w:val="24"/>
          <w:szCs w:val="24"/>
          <w:lang w:val="es-ES_tradnl"/>
        </w:rPr>
        <w:t xml:space="preserve"> fondo revolvente</w:t>
      </w:r>
      <w:r w:rsidR="00FD00E9" w:rsidRPr="003600DC">
        <w:rPr>
          <w:rFonts w:ascii="Arial" w:hAnsi="Arial" w:cs="Arial"/>
          <w:sz w:val="24"/>
          <w:szCs w:val="24"/>
          <w:lang w:val="es-ES_tradnl"/>
        </w:rPr>
        <w:t xml:space="preserve">, no podrán rebasar el equivalente al valor anual de la Unidad de Medida y Actualización, sin incluir impuestos. </w:t>
      </w:r>
    </w:p>
    <w:p w14:paraId="151D79D7" w14:textId="77777777" w:rsidR="00FD00E9" w:rsidRPr="003600DC" w:rsidRDefault="00FD00E9" w:rsidP="00FE623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6D7D7E5" w14:textId="77777777" w:rsidR="006D1FB8" w:rsidRPr="003600DC" w:rsidRDefault="00FE6234" w:rsidP="00FE623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600DC">
        <w:rPr>
          <w:rFonts w:ascii="Arial" w:hAnsi="Arial" w:cs="Arial"/>
          <w:sz w:val="24"/>
          <w:szCs w:val="24"/>
          <w:lang w:val="es-ES_tradnl"/>
        </w:rPr>
        <w:t xml:space="preserve">La selección por esta opción deberá fundarse y motivarse, según las circunstancias que concurran en cada caso, para obtener las mejores condiciones y atender un servicio público. La acreditación del o los criterios en los que se funda, así como la justificación de las razones en las que se sustente su ejercicio, deberán constar en el oficio que al efecto suscriba </w:t>
      </w:r>
      <w:r w:rsidR="006D1FB8" w:rsidRPr="003600DC">
        <w:rPr>
          <w:rFonts w:ascii="Arial" w:hAnsi="Arial" w:cs="Arial"/>
          <w:sz w:val="24"/>
          <w:szCs w:val="24"/>
          <w:lang w:val="es-ES_tradnl"/>
        </w:rPr>
        <w:t>quien erogó el gasto</w:t>
      </w:r>
      <w:r w:rsidRPr="003600DC">
        <w:rPr>
          <w:rFonts w:ascii="Arial" w:hAnsi="Arial" w:cs="Arial"/>
          <w:sz w:val="24"/>
          <w:szCs w:val="24"/>
          <w:lang w:val="es-ES_tradnl"/>
        </w:rPr>
        <w:t>.</w:t>
      </w:r>
    </w:p>
    <w:p w14:paraId="41822BCE" w14:textId="77777777" w:rsidR="00FE6234" w:rsidRPr="003600DC" w:rsidRDefault="00FE6234" w:rsidP="00FD00E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9D75FD8" w14:textId="77777777" w:rsidR="00371266" w:rsidRPr="003600DC" w:rsidRDefault="00371266"/>
    <w:sectPr w:rsidR="00371266" w:rsidRPr="003600DC" w:rsidSect="00237B0F">
      <w:footerReference w:type="default" r:id="rId7"/>
      <w:pgSz w:w="12240" w:h="19340"/>
      <w:pgMar w:top="1418" w:right="1134" w:bottom="1418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FAE7" w14:textId="77777777" w:rsidR="00BD7AFA" w:rsidRDefault="00BD7AFA">
      <w:r>
        <w:separator/>
      </w:r>
    </w:p>
  </w:endnote>
  <w:endnote w:type="continuationSeparator" w:id="0">
    <w:p w14:paraId="13F0B426" w14:textId="77777777" w:rsidR="00BD7AFA" w:rsidRDefault="00BD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948026"/>
      <w:docPartObj>
        <w:docPartGallery w:val="Page Numbers (Bottom of Page)"/>
        <w:docPartUnique/>
      </w:docPartObj>
    </w:sdtPr>
    <w:sdtEndPr/>
    <w:sdtContent>
      <w:p w14:paraId="671F0664" w14:textId="77777777" w:rsidR="004B3F8D" w:rsidRDefault="00BD7AFA">
        <w:pPr>
          <w:pStyle w:val="Piedepgina"/>
          <w:jc w:val="right"/>
        </w:pPr>
      </w:p>
      <w:p w14:paraId="2C452044" w14:textId="77777777" w:rsidR="004B3F8D" w:rsidRDefault="00237B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7171">
          <w:rPr>
            <w:noProof/>
            <w:lang w:val="es-ES"/>
          </w:rPr>
          <w:t>7</w:t>
        </w:r>
        <w:r>
          <w:fldChar w:fldCharType="end"/>
        </w:r>
      </w:p>
    </w:sdtContent>
  </w:sdt>
  <w:p w14:paraId="72F3A6CB" w14:textId="77777777" w:rsidR="004B3F8D" w:rsidRDefault="00BD7A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3A10" w14:textId="77777777" w:rsidR="00BD7AFA" w:rsidRDefault="00BD7AFA">
      <w:r>
        <w:separator/>
      </w:r>
    </w:p>
  </w:footnote>
  <w:footnote w:type="continuationSeparator" w:id="0">
    <w:p w14:paraId="79EFD033" w14:textId="77777777" w:rsidR="00BD7AFA" w:rsidRDefault="00BD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ED0"/>
    <w:multiLevelType w:val="hybridMultilevel"/>
    <w:tmpl w:val="1EDEAF0E"/>
    <w:lvl w:ilvl="0" w:tplc="3C669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07D3"/>
    <w:multiLevelType w:val="hybridMultilevel"/>
    <w:tmpl w:val="3716B2FA"/>
    <w:lvl w:ilvl="0" w:tplc="BECC47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4101"/>
    <w:multiLevelType w:val="hybridMultilevel"/>
    <w:tmpl w:val="E7429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0105"/>
    <w:multiLevelType w:val="hybridMultilevel"/>
    <w:tmpl w:val="A6D26DA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DBF52D6"/>
    <w:multiLevelType w:val="hybridMultilevel"/>
    <w:tmpl w:val="648855E4"/>
    <w:lvl w:ilvl="0" w:tplc="080A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6DB034EC"/>
    <w:multiLevelType w:val="hybridMultilevel"/>
    <w:tmpl w:val="E3108144"/>
    <w:lvl w:ilvl="0" w:tplc="080A0009">
      <w:start w:val="1"/>
      <w:numFmt w:val="bullet"/>
      <w:lvlText w:val=""/>
      <w:lvlJc w:val="left"/>
      <w:pPr>
        <w:ind w:left="730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6" w15:restartNumberingAfterBreak="0">
    <w:nsid w:val="725335AD"/>
    <w:multiLevelType w:val="hybridMultilevel"/>
    <w:tmpl w:val="C70812F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A1DC6"/>
    <w:multiLevelType w:val="hybridMultilevel"/>
    <w:tmpl w:val="C4E65B92"/>
    <w:lvl w:ilvl="0" w:tplc="6B8E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99092">
    <w:abstractNumId w:val="5"/>
  </w:num>
  <w:num w:numId="2" w16cid:durableId="2082634608">
    <w:abstractNumId w:val="4"/>
  </w:num>
  <w:num w:numId="3" w16cid:durableId="1034580718">
    <w:abstractNumId w:val="6"/>
  </w:num>
  <w:num w:numId="4" w16cid:durableId="604921100">
    <w:abstractNumId w:val="7"/>
  </w:num>
  <w:num w:numId="5" w16cid:durableId="454758423">
    <w:abstractNumId w:val="2"/>
  </w:num>
  <w:num w:numId="6" w16cid:durableId="1839928724">
    <w:abstractNumId w:val="3"/>
  </w:num>
  <w:num w:numId="7" w16cid:durableId="305550407">
    <w:abstractNumId w:val="1"/>
  </w:num>
  <w:num w:numId="8" w16cid:durableId="191045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9F"/>
    <w:rsid w:val="00106818"/>
    <w:rsid w:val="00237B0F"/>
    <w:rsid w:val="002E459F"/>
    <w:rsid w:val="003346CE"/>
    <w:rsid w:val="003600DC"/>
    <w:rsid w:val="00371266"/>
    <w:rsid w:val="00684674"/>
    <w:rsid w:val="006D1FB8"/>
    <w:rsid w:val="00865DA0"/>
    <w:rsid w:val="008C4588"/>
    <w:rsid w:val="00A21B10"/>
    <w:rsid w:val="00BD7AFA"/>
    <w:rsid w:val="00C754D8"/>
    <w:rsid w:val="00FD00E9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666BA"/>
  <w15:chartTrackingRefBased/>
  <w15:docId w15:val="{6B03DFD9-67F9-4E43-AA23-BCB5CB1C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9F"/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459F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2E459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E6234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6234"/>
    <w:rPr>
      <w:rFonts w:ascii="Arial" w:eastAsia="Times New Roman" w:hAnsi="Arial" w:cs="Arial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23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234"/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Eduardo García Parra</cp:lastModifiedBy>
  <cp:revision>6</cp:revision>
  <dcterms:created xsi:type="dcterms:W3CDTF">2019-11-27T00:22:00Z</dcterms:created>
  <dcterms:modified xsi:type="dcterms:W3CDTF">2022-06-10T17:47:00Z</dcterms:modified>
</cp:coreProperties>
</file>