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4725" w14:textId="77777777" w:rsidR="004D7C4F" w:rsidRDefault="004D7C4F" w:rsidP="0004090B">
      <w:pPr>
        <w:tabs>
          <w:tab w:val="left" w:pos="5851"/>
        </w:tabs>
        <w:spacing w:after="0"/>
        <w:rPr>
          <w:rFonts w:ascii="Arial" w:hAnsi="Arial" w:cs="Arial"/>
          <w:b/>
          <w:bCs/>
          <w:sz w:val="36"/>
          <w:szCs w:val="36"/>
        </w:rPr>
      </w:pPr>
    </w:p>
    <w:p w14:paraId="0722603D" w14:textId="77777777" w:rsidR="004D7C4F" w:rsidRDefault="004D7C4F" w:rsidP="0004090B">
      <w:pPr>
        <w:tabs>
          <w:tab w:val="left" w:pos="5851"/>
        </w:tabs>
        <w:spacing w:after="0"/>
        <w:rPr>
          <w:rFonts w:ascii="Arial" w:hAnsi="Arial" w:cs="Arial"/>
          <w:b/>
          <w:bCs/>
          <w:sz w:val="36"/>
          <w:szCs w:val="36"/>
        </w:rPr>
      </w:pPr>
    </w:p>
    <w:p w14:paraId="779E0D3C" w14:textId="2E9C51B4" w:rsidR="007B7CCF" w:rsidRDefault="007B7CCF" w:rsidP="007B7CCF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B7CCF">
        <w:rPr>
          <w:rFonts w:ascii="Arial" w:hAnsi="Arial" w:cs="Arial"/>
          <w:sz w:val="24"/>
          <w:szCs w:val="24"/>
        </w:rPr>
        <w:t xml:space="preserve">La </w:t>
      </w:r>
      <w:r w:rsidR="00C15B99">
        <w:rPr>
          <w:rFonts w:ascii="Arial" w:hAnsi="Arial" w:cs="Arial"/>
          <w:sz w:val="24"/>
          <w:szCs w:val="24"/>
        </w:rPr>
        <w:t>Jefatura de Información</w:t>
      </w:r>
      <w:r w:rsidR="00E109F9">
        <w:rPr>
          <w:rFonts w:ascii="Arial" w:hAnsi="Arial" w:cs="Arial"/>
          <w:sz w:val="24"/>
          <w:szCs w:val="24"/>
        </w:rPr>
        <w:t xml:space="preserve"> </w:t>
      </w:r>
      <w:r w:rsidR="00F55577">
        <w:rPr>
          <w:rFonts w:ascii="Arial" w:hAnsi="Arial" w:cs="Arial"/>
          <w:sz w:val="24"/>
          <w:szCs w:val="24"/>
        </w:rPr>
        <w:t xml:space="preserve">Fundamental </w:t>
      </w:r>
      <w:r w:rsidR="00E109F9">
        <w:rPr>
          <w:rFonts w:ascii="Arial" w:hAnsi="Arial" w:cs="Arial"/>
          <w:sz w:val="24"/>
          <w:szCs w:val="24"/>
        </w:rPr>
        <w:t xml:space="preserve">perteneciente a la </w:t>
      </w:r>
      <w:r w:rsidR="00C15B99">
        <w:rPr>
          <w:rFonts w:ascii="Arial" w:hAnsi="Arial" w:cs="Arial"/>
          <w:sz w:val="24"/>
          <w:szCs w:val="24"/>
        </w:rPr>
        <w:t>Dirección de Transparencia y Buenas Prácticas</w:t>
      </w:r>
      <w:r w:rsidR="00F24DBA">
        <w:rPr>
          <w:rFonts w:ascii="Arial" w:hAnsi="Arial" w:cs="Arial"/>
          <w:sz w:val="24"/>
          <w:szCs w:val="24"/>
        </w:rPr>
        <w:t xml:space="preserve">, </w:t>
      </w:r>
      <w:r w:rsidRPr="007B7CCF">
        <w:rPr>
          <w:rFonts w:ascii="Arial" w:hAnsi="Arial" w:cs="Arial"/>
          <w:sz w:val="24"/>
          <w:szCs w:val="24"/>
        </w:rPr>
        <w:t xml:space="preserve">desarrollará sus actividades con </w:t>
      </w:r>
      <w:r w:rsidR="00C15B99" w:rsidRPr="007B7CCF">
        <w:rPr>
          <w:rFonts w:ascii="Arial" w:hAnsi="Arial" w:cs="Arial"/>
          <w:sz w:val="24"/>
          <w:szCs w:val="24"/>
        </w:rPr>
        <w:t>apego</w:t>
      </w:r>
      <w:r w:rsidR="00C15B99">
        <w:rPr>
          <w:rFonts w:ascii="Arial" w:hAnsi="Arial" w:cs="Arial"/>
          <w:sz w:val="24"/>
          <w:szCs w:val="24"/>
        </w:rPr>
        <w:t xml:space="preserve">, </w:t>
      </w:r>
      <w:r w:rsidR="00C15B99" w:rsidRPr="007B7CCF">
        <w:rPr>
          <w:rFonts w:ascii="Arial" w:hAnsi="Arial" w:cs="Arial"/>
          <w:sz w:val="24"/>
          <w:szCs w:val="24"/>
        </w:rPr>
        <w:t>a</w:t>
      </w:r>
      <w:r w:rsidR="00506B5D">
        <w:rPr>
          <w:rFonts w:ascii="Arial" w:hAnsi="Arial" w:cs="Arial"/>
          <w:sz w:val="24"/>
          <w:szCs w:val="24"/>
        </w:rPr>
        <w:t xml:space="preserve"> los artículos 21</w:t>
      </w:r>
      <w:r w:rsidR="00C15B99">
        <w:rPr>
          <w:rFonts w:ascii="Arial" w:hAnsi="Arial" w:cs="Arial"/>
          <w:sz w:val="24"/>
          <w:szCs w:val="24"/>
        </w:rPr>
        <w:t>7</w:t>
      </w:r>
      <w:r w:rsidR="00506B5D">
        <w:rPr>
          <w:rFonts w:ascii="Arial" w:hAnsi="Arial" w:cs="Arial"/>
          <w:sz w:val="24"/>
          <w:szCs w:val="24"/>
        </w:rPr>
        <w:t xml:space="preserve"> y 218 del Reglamento General del Municipio de El Salto, Jalisco, así como las legislaciones aplicables de la materia,</w:t>
      </w:r>
      <w:r w:rsidR="003B29E1">
        <w:rPr>
          <w:rFonts w:ascii="Arial" w:hAnsi="Arial" w:cs="Arial"/>
          <w:sz w:val="24"/>
          <w:szCs w:val="24"/>
        </w:rPr>
        <w:t xml:space="preserve"> </w:t>
      </w:r>
      <w:r w:rsidRPr="007B7CCF">
        <w:rPr>
          <w:rFonts w:ascii="Arial" w:hAnsi="Arial" w:cs="Arial"/>
          <w:sz w:val="24"/>
          <w:szCs w:val="24"/>
        </w:rPr>
        <w:t xml:space="preserve">realizando las tareas necesarias para atender </w:t>
      </w:r>
      <w:r w:rsidR="00506B5D">
        <w:rPr>
          <w:rFonts w:ascii="Arial" w:hAnsi="Arial" w:cs="Arial"/>
          <w:sz w:val="24"/>
          <w:szCs w:val="24"/>
        </w:rPr>
        <w:t>las diversas áreas de oportunidad</w:t>
      </w:r>
      <w:r w:rsidRPr="007B7CCF">
        <w:rPr>
          <w:rFonts w:ascii="Arial" w:hAnsi="Arial" w:cs="Arial"/>
          <w:sz w:val="24"/>
          <w:szCs w:val="24"/>
        </w:rPr>
        <w:t xml:space="preserve"> que han sido identificadas por esta administración, así como l</w:t>
      </w:r>
      <w:r w:rsidR="00506B5D">
        <w:rPr>
          <w:rFonts w:ascii="Arial" w:hAnsi="Arial" w:cs="Arial"/>
          <w:sz w:val="24"/>
          <w:szCs w:val="24"/>
        </w:rPr>
        <w:t>a</w:t>
      </w:r>
      <w:r w:rsidRPr="007B7CCF">
        <w:rPr>
          <w:rFonts w:ascii="Arial" w:hAnsi="Arial" w:cs="Arial"/>
          <w:sz w:val="24"/>
          <w:szCs w:val="24"/>
        </w:rPr>
        <w:t>s que durante el transcurso de la misma resulten.</w:t>
      </w:r>
    </w:p>
    <w:p w14:paraId="20A5CEB8" w14:textId="77777777" w:rsidR="00506B5D" w:rsidRPr="007B7CCF" w:rsidRDefault="00506B5D" w:rsidP="007B7CCF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56EBDE6" w14:textId="38CE2BF2" w:rsidR="007B7CCF" w:rsidRDefault="00E109F9" w:rsidP="007B7CCF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P</w:t>
      </w:r>
      <w:r w:rsidR="007B7CCF" w:rsidRPr="007B7CCF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 Operativo Anual</w:t>
      </w:r>
      <w:r w:rsidR="007B7CCF" w:rsidRPr="007B7CCF">
        <w:rPr>
          <w:rFonts w:ascii="Arial" w:hAnsi="Arial" w:cs="Arial"/>
          <w:sz w:val="24"/>
          <w:szCs w:val="24"/>
        </w:rPr>
        <w:t xml:space="preserve">, tiene como finalidad crear una estrategia de actividades, </w:t>
      </w:r>
      <w:r>
        <w:rPr>
          <w:rFonts w:ascii="Arial" w:hAnsi="Arial" w:cs="Arial"/>
          <w:sz w:val="24"/>
          <w:szCs w:val="24"/>
        </w:rPr>
        <w:t>proyectos</w:t>
      </w:r>
      <w:r w:rsidR="007B7CCF" w:rsidRPr="007B7CCF">
        <w:rPr>
          <w:rFonts w:ascii="Arial" w:hAnsi="Arial" w:cs="Arial"/>
          <w:sz w:val="24"/>
          <w:szCs w:val="24"/>
        </w:rPr>
        <w:t xml:space="preserve"> y acciones llevados a cabo por la </w:t>
      </w:r>
      <w:r w:rsidR="00C15B99">
        <w:rPr>
          <w:rFonts w:ascii="Arial" w:hAnsi="Arial" w:cs="Arial"/>
          <w:sz w:val="24"/>
          <w:szCs w:val="24"/>
        </w:rPr>
        <w:t>Jefatura de Información</w:t>
      </w:r>
      <w:r w:rsidR="00F55577">
        <w:rPr>
          <w:rFonts w:ascii="Arial" w:hAnsi="Arial" w:cs="Arial"/>
          <w:sz w:val="24"/>
          <w:szCs w:val="24"/>
        </w:rPr>
        <w:t xml:space="preserve"> Fundamental</w:t>
      </w:r>
      <w:r w:rsidR="00C15B99">
        <w:rPr>
          <w:rFonts w:ascii="Arial" w:hAnsi="Arial" w:cs="Arial"/>
          <w:sz w:val="24"/>
          <w:szCs w:val="24"/>
        </w:rPr>
        <w:t xml:space="preserve"> </w:t>
      </w:r>
      <w:r w:rsidR="007B7CCF" w:rsidRPr="007B7CCF">
        <w:rPr>
          <w:rFonts w:ascii="Arial" w:hAnsi="Arial" w:cs="Arial"/>
          <w:sz w:val="24"/>
          <w:szCs w:val="24"/>
        </w:rPr>
        <w:t xml:space="preserve">para resolver de manera eficiente </w:t>
      </w:r>
      <w:r>
        <w:rPr>
          <w:rFonts w:ascii="Arial" w:hAnsi="Arial" w:cs="Arial"/>
          <w:sz w:val="24"/>
          <w:szCs w:val="24"/>
        </w:rPr>
        <w:t xml:space="preserve">y eficaz </w:t>
      </w:r>
      <w:r w:rsidR="007B7CCF" w:rsidRPr="007B7CCF">
        <w:rPr>
          <w:rFonts w:ascii="Arial" w:hAnsi="Arial" w:cs="Arial"/>
          <w:sz w:val="24"/>
          <w:szCs w:val="24"/>
        </w:rPr>
        <w:t>cada uno de los procesos administrativos que se deban realizar, bajo los principios de legalidad y debido procedimiento.</w:t>
      </w:r>
    </w:p>
    <w:p w14:paraId="0477C0DA" w14:textId="77777777" w:rsidR="007B7CCF" w:rsidRPr="005F7B10" w:rsidRDefault="007B7CCF" w:rsidP="007B7CCF">
      <w:pPr>
        <w:tabs>
          <w:tab w:val="left" w:pos="57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12E29B1" w14:textId="77777777" w:rsidR="00CE45D3" w:rsidRDefault="00CE45D3" w:rsidP="00CE45D3">
      <w:pPr>
        <w:pStyle w:val="Prrafodelista"/>
        <w:numPr>
          <w:ilvl w:val="0"/>
          <w:numId w:val="2"/>
        </w:numPr>
        <w:tabs>
          <w:tab w:val="left" w:pos="570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Diagnóstico </w:t>
      </w:r>
    </w:p>
    <w:p w14:paraId="63020B25" w14:textId="2C828072" w:rsidR="005F7B10" w:rsidRDefault="00C15B99" w:rsidP="00D52246">
      <w:pPr>
        <w:pStyle w:val="Prrafodelista"/>
        <w:tabs>
          <w:tab w:val="left" w:pos="570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H</w:t>
      </w:r>
      <w:r w:rsidRPr="00C15B99">
        <w:rPr>
          <w:rFonts w:ascii="Arial" w:hAnsi="Arial" w:cs="Arial"/>
          <w:sz w:val="24"/>
          <w:szCs w:val="24"/>
        </w:rPr>
        <w:t>acer efectivo el derecho a toda persona de acceder, consultar, difundir</w:t>
      </w:r>
      <w:r w:rsidR="009A6B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15B99">
        <w:rPr>
          <w:rFonts w:ascii="Arial" w:hAnsi="Arial" w:cs="Arial"/>
          <w:sz w:val="24"/>
          <w:szCs w:val="24"/>
        </w:rPr>
        <w:t xml:space="preserve">reproducir </w:t>
      </w:r>
      <w:r w:rsidR="009A6B78" w:rsidRPr="009A6B78">
        <w:rPr>
          <w:rFonts w:ascii="Arial" w:hAnsi="Arial" w:cs="Arial"/>
          <w:sz w:val="24"/>
          <w:szCs w:val="24"/>
        </w:rPr>
        <w:t>y publicar información pública</w:t>
      </w:r>
      <w:r w:rsidRPr="00C15B99">
        <w:rPr>
          <w:rFonts w:ascii="Arial" w:hAnsi="Arial" w:cs="Arial"/>
          <w:sz w:val="24"/>
          <w:szCs w:val="24"/>
        </w:rPr>
        <w:t xml:space="preserve">, </w:t>
      </w:r>
      <w:r w:rsidR="009A6B78" w:rsidRPr="009A6B78">
        <w:rPr>
          <w:rFonts w:ascii="Arial" w:hAnsi="Arial" w:cs="Arial"/>
          <w:sz w:val="24"/>
          <w:szCs w:val="24"/>
        </w:rPr>
        <w:t xml:space="preserve">de libre acceso que debe publicarse y difundirse de manera universal, permanente, actualizada, a través de formatos abiertos y accesibles para el ciudadano, por ministerio de ley, sin que se requiera solicitud de parte interesada </w:t>
      </w:r>
      <w:r w:rsidRPr="00C15B99">
        <w:rPr>
          <w:rFonts w:ascii="Arial" w:hAnsi="Arial" w:cs="Arial"/>
          <w:sz w:val="24"/>
          <w:szCs w:val="24"/>
        </w:rPr>
        <w:t>de conformidad con la presente ley</w:t>
      </w:r>
      <w:r>
        <w:rPr>
          <w:rFonts w:ascii="Arial" w:hAnsi="Arial" w:cs="Arial"/>
          <w:sz w:val="24"/>
          <w:szCs w:val="24"/>
        </w:rPr>
        <w:t xml:space="preserve"> de transparencia</w:t>
      </w:r>
      <w:r w:rsidR="00DD181D">
        <w:rPr>
          <w:rFonts w:ascii="Arial" w:hAnsi="Arial" w:cs="Arial"/>
          <w:sz w:val="24"/>
          <w:szCs w:val="24"/>
        </w:rPr>
        <w:t>.</w:t>
      </w:r>
    </w:p>
    <w:p w14:paraId="60726BD9" w14:textId="4A60878D" w:rsidR="005F7B10" w:rsidRPr="00D52246" w:rsidRDefault="005F7B10" w:rsidP="005F7B10">
      <w:pPr>
        <w:pStyle w:val="Prrafodelista"/>
        <w:numPr>
          <w:ilvl w:val="0"/>
          <w:numId w:val="2"/>
        </w:numPr>
        <w:tabs>
          <w:tab w:val="left" w:pos="57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F7B10"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14:paraId="743CFB6B" w14:textId="1785CEBD" w:rsidR="00D52246" w:rsidRPr="005F7B10" w:rsidRDefault="00D52246" w:rsidP="00D52246">
      <w:pPr>
        <w:pStyle w:val="Prrafodelista"/>
        <w:tabs>
          <w:tab w:val="left" w:pos="5700"/>
        </w:tabs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D52246">
        <w:rPr>
          <w:rFonts w:ascii="Arial" w:hAnsi="Arial" w:cs="Arial"/>
          <w:sz w:val="24"/>
          <w:szCs w:val="24"/>
        </w:rPr>
        <w:t xml:space="preserve">Garantizar el derecho de acceso a la información a través de </w:t>
      </w:r>
      <w:r w:rsidR="00C15B99">
        <w:rPr>
          <w:rFonts w:ascii="Arial" w:hAnsi="Arial" w:cs="Arial"/>
          <w:sz w:val="24"/>
          <w:szCs w:val="24"/>
        </w:rPr>
        <w:t>la</w:t>
      </w:r>
      <w:r w:rsidR="0097415C">
        <w:rPr>
          <w:rFonts w:ascii="Arial" w:hAnsi="Arial" w:cs="Arial"/>
          <w:sz w:val="24"/>
          <w:szCs w:val="24"/>
        </w:rPr>
        <w:t xml:space="preserve"> publicación de la información fundamental del portal de este sujeto obligado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0E60493" w14:textId="77777777" w:rsidR="006307B3" w:rsidRPr="005F7B10" w:rsidRDefault="005F7B10" w:rsidP="005F7B10">
      <w:pPr>
        <w:pStyle w:val="Prrafodelista"/>
        <w:numPr>
          <w:ilvl w:val="0"/>
          <w:numId w:val="2"/>
        </w:numPr>
        <w:tabs>
          <w:tab w:val="left" w:pos="570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6307B3" w:rsidRPr="005F7B10">
        <w:rPr>
          <w:rFonts w:ascii="Arial" w:hAnsi="Arial" w:cs="Arial"/>
          <w:b/>
          <w:bCs/>
          <w:sz w:val="24"/>
          <w:szCs w:val="24"/>
        </w:rPr>
        <w:t xml:space="preserve">ronograma de actividades  </w:t>
      </w:r>
    </w:p>
    <w:p w14:paraId="534A5EC2" w14:textId="77777777" w:rsidR="006D6CC9" w:rsidRDefault="006D6CC9" w:rsidP="0004090B">
      <w:pPr>
        <w:tabs>
          <w:tab w:val="left" w:pos="5851"/>
        </w:tabs>
        <w:spacing w:after="0"/>
        <w:rPr>
          <w:rFonts w:ascii="Arial" w:hAnsi="Arial" w:cs="Arial"/>
          <w:b/>
          <w:bCs/>
          <w:sz w:val="36"/>
          <w:szCs w:val="36"/>
        </w:rPr>
      </w:pPr>
    </w:p>
    <w:p w14:paraId="2050C8AC" w14:textId="77777777" w:rsidR="007B7CCF" w:rsidRDefault="007B7CCF" w:rsidP="0004090B">
      <w:pPr>
        <w:spacing w:after="0"/>
        <w:rPr>
          <w:rFonts w:cs="Arial"/>
          <w:b/>
          <w:bCs/>
          <w:sz w:val="24"/>
          <w:u w:val="single"/>
        </w:rPr>
      </w:pPr>
    </w:p>
    <w:p w14:paraId="562F1F90" w14:textId="77777777" w:rsidR="007B7CCF" w:rsidRDefault="007B7CCF" w:rsidP="0004090B">
      <w:pPr>
        <w:spacing w:after="0"/>
        <w:rPr>
          <w:rFonts w:cs="Arial"/>
          <w:b/>
          <w:bCs/>
          <w:sz w:val="24"/>
          <w:u w:val="single"/>
        </w:rPr>
      </w:pPr>
    </w:p>
    <w:p w14:paraId="28A59886" w14:textId="5A866F4C" w:rsidR="00C3622A" w:rsidRPr="00E109F9" w:rsidRDefault="00C3622A" w:rsidP="00E109F9">
      <w:pPr>
        <w:spacing w:after="0"/>
        <w:rPr>
          <w:rFonts w:cs="Arial"/>
          <w:b/>
          <w:bCs/>
          <w:color w:val="595959" w:themeColor="text1" w:themeTint="A6"/>
          <w:sz w:val="24"/>
        </w:rPr>
      </w:pPr>
    </w:p>
    <w:tbl>
      <w:tblPr>
        <w:tblStyle w:val="Tablaconcuadrcula"/>
        <w:tblpPr w:leftFromText="141" w:rightFromText="141" w:vertAnchor="page" w:horzAnchor="margin" w:tblpY="3013"/>
        <w:tblW w:w="18423" w:type="dxa"/>
        <w:tblLayout w:type="fixed"/>
        <w:tblLook w:val="04A0" w:firstRow="1" w:lastRow="0" w:firstColumn="1" w:lastColumn="0" w:noHBand="0" w:noVBand="1"/>
      </w:tblPr>
      <w:tblGrid>
        <w:gridCol w:w="1980"/>
        <w:gridCol w:w="2836"/>
        <w:gridCol w:w="2977"/>
        <w:gridCol w:w="21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109F9" w:rsidRPr="00E109F9" w14:paraId="768C46CE" w14:textId="77777777" w:rsidTr="00F102BC">
        <w:trPr>
          <w:trHeight w:val="274"/>
        </w:trPr>
        <w:tc>
          <w:tcPr>
            <w:tcW w:w="1980" w:type="dxa"/>
            <w:vMerge w:val="restart"/>
            <w:shd w:val="clear" w:color="auto" w:fill="595959" w:themeFill="text1" w:themeFillTint="A6"/>
            <w:vAlign w:val="center"/>
          </w:tcPr>
          <w:p w14:paraId="73D90EEA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ACCIONES</w:t>
            </w:r>
          </w:p>
        </w:tc>
        <w:tc>
          <w:tcPr>
            <w:tcW w:w="2836" w:type="dxa"/>
            <w:vMerge w:val="restart"/>
            <w:shd w:val="clear" w:color="auto" w:fill="595959" w:themeFill="text1" w:themeFillTint="A6"/>
            <w:vAlign w:val="center"/>
          </w:tcPr>
          <w:p w14:paraId="691E16B9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OBJETIVOS</w:t>
            </w:r>
          </w:p>
        </w:tc>
        <w:tc>
          <w:tcPr>
            <w:tcW w:w="2977" w:type="dxa"/>
            <w:vMerge w:val="restart"/>
            <w:shd w:val="clear" w:color="auto" w:fill="595959" w:themeFill="text1" w:themeFillTint="A6"/>
            <w:vAlign w:val="center"/>
          </w:tcPr>
          <w:p w14:paraId="425AB0D1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METAS ESTIMADAS</w:t>
            </w:r>
          </w:p>
        </w:tc>
        <w:tc>
          <w:tcPr>
            <w:tcW w:w="2125" w:type="dxa"/>
            <w:vMerge w:val="restart"/>
            <w:shd w:val="clear" w:color="auto" w:fill="595959" w:themeFill="text1" w:themeFillTint="A6"/>
            <w:vAlign w:val="center"/>
          </w:tcPr>
          <w:p w14:paraId="2C3E1433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INDICADOR</w:t>
            </w:r>
          </w:p>
        </w:tc>
        <w:tc>
          <w:tcPr>
            <w:tcW w:w="8505" w:type="dxa"/>
            <w:gridSpan w:val="12"/>
            <w:shd w:val="clear" w:color="auto" w:fill="595959" w:themeFill="text1" w:themeFillTint="A6"/>
            <w:vAlign w:val="center"/>
          </w:tcPr>
          <w:p w14:paraId="6499ACEF" w14:textId="0DEDDBDA" w:rsidR="00E109F9" w:rsidRPr="00E109F9" w:rsidRDefault="00E109F9" w:rsidP="00497664">
            <w:pPr>
              <w:spacing w:after="160"/>
              <w:jc w:val="center"/>
              <w:rPr>
                <w:b/>
                <w:bCs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PROGRAMACIÓN ANUAL</w:t>
            </w:r>
          </w:p>
        </w:tc>
      </w:tr>
      <w:tr w:rsidR="0080293B" w:rsidRPr="00E109F9" w14:paraId="52A45422" w14:textId="77777777" w:rsidTr="00F102BC">
        <w:trPr>
          <w:cantSplit/>
          <w:trHeight w:val="786"/>
        </w:trPr>
        <w:tc>
          <w:tcPr>
            <w:tcW w:w="1980" w:type="dxa"/>
            <w:vMerge/>
            <w:shd w:val="clear" w:color="auto" w:fill="595959" w:themeFill="text1" w:themeFillTint="A6"/>
            <w:vAlign w:val="center"/>
          </w:tcPr>
          <w:p w14:paraId="7E8541F2" w14:textId="77777777"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2836" w:type="dxa"/>
            <w:vMerge/>
            <w:shd w:val="clear" w:color="auto" w:fill="595959" w:themeFill="text1" w:themeFillTint="A6"/>
            <w:vAlign w:val="center"/>
          </w:tcPr>
          <w:p w14:paraId="593FDD85" w14:textId="77777777"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2977" w:type="dxa"/>
            <w:vMerge/>
            <w:shd w:val="clear" w:color="auto" w:fill="595959" w:themeFill="text1" w:themeFillTint="A6"/>
            <w:vAlign w:val="center"/>
          </w:tcPr>
          <w:p w14:paraId="022213DB" w14:textId="77777777"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2125" w:type="dxa"/>
            <w:vMerge/>
            <w:shd w:val="clear" w:color="auto" w:fill="595959" w:themeFill="text1" w:themeFillTint="A6"/>
            <w:vAlign w:val="center"/>
          </w:tcPr>
          <w:p w14:paraId="7060788B" w14:textId="77777777"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3FFD7159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 w:rsidRPr="00E109F9">
              <w:rPr>
                <w:b/>
                <w:bCs/>
                <w:sz w:val="16"/>
              </w:rPr>
              <w:t>Ene</w:t>
            </w:r>
            <w:r>
              <w:rPr>
                <w:b/>
                <w:bCs/>
                <w:sz w:val="16"/>
              </w:rPr>
              <w:t>ro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tbRl"/>
            <w:vAlign w:val="center"/>
          </w:tcPr>
          <w:p w14:paraId="78F22FAE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Febrero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7E1C29EE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Marzo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19819C41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Abril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1C5428C8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Mayo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tbRl"/>
            <w:vAlign w:val="center"/>
          </w:tcPr>
          <w:p w14:paraId="63AD38DA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076AE5E1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Julio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2B01A4AF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Agosto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79178D09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Septiembre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tbRl"/>
            <w:vAlign w:val="center"/>
          </w:tcPr>
          <w:p w14:paraId="178A8CB5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Octubre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3944A7BD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Noviembre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tbRl"/>
            <w:vAlign w:val="center"/>
          </w:tcPr>
          <w:p w14:paraId="19E3C90A" w14:textId="77777777"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Diciembre</w:t>
            </w:r>
          </w:p>
        </w:tc>
      </w:tr>
      <w:tr w:rsidR="00B22ADF" w:rsidRPr="00E109F9" w14:paraId="70688248" w14:textId="77777777" w:rsidTr="00F102BC">
        <w:trPr>
          <w:trHeight w:val="2027"/>
        </w:trPr>
        <w:tc>
          <w:tcPr>
            <w:tcW w:w="1980" w:type="dxa"/>
            <w:vAlign w:val="center"/>
          </w:tcPr>
          <w:p w14:paraId="08BEAD6D" w14:textId="12646630" w:rsidR="00B22ADF" w:rsidRDefault="00C15B99" w:rsidP="008613E4">
            <w:pPr>
              <w:widowControl w:val="0"/>
              <w:autoSpaceDE w:val="0"/>
              <w:autoSpaceDN w:val="0"/>
              <w:spacing w:after="240" w:line="240" w:lineRule="auto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Gestionar </w:t>
            </w:r>
            <w:r w:rsidR="008613E4">
              <w:rPr>
                <w:rFonts w:ascii="Arial" w:hAnsi="Arial" w:cs="Arial"/>
                <w:color w:val="000000" w:themeColor="text1"/>
              </w:rPr>
              <w:t xml:space="preserve">con las Unidades Administrativas </w:t>
            </w:r>
            <w:proofErr w:type="gramStart"/>
            <w:r w:rsidR="008613E4">
              <w:rPr>
                <w:rFonts w:ascii="Arial" w:hAnsi="Arial" w:cs="Arial"/>
                <w:color w:val="000000" w:themeColor="text1"/>
              </w:rPr>
              <w:t xml:space="preserve">Internas </w:t>
            </w:r>
            <w:r w:rsidR="00B22ADF" w:rsidRPr="00CA194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102BC">
              <w:rPr>
                <w:rFonts w:ascii="Arial" w:hAnsi="Arial" w:cs="Arial"/>
                <w:color w:val="000000" w:themeColor="text1"/>
              </w:rPr>
              <w:t>la</w:t>
            </w:r>
            <w:proofErr w:type="gramEnd"/>
            <w:r w:rsidR="00F102BC">
              <w:rPr>
                <w:rFonts w:ascii="Arial" w:hAnsi="Arial" w:cs="Arial"/>
                <w:color w:val="000000" w:themeColor="text1"/>
              </w:rPr>
              <w:t xml:space="preserve"> entrega de la información </w:t>
            </w:r>
            <w:proofErr w:type="spellStart"/>
            <w:r w:rsidR="00F102BC">
              <w:rPr>
                <w:rFonts w:ascii="Arial" w:hAnsi="Arial" w:cs="Arial"/>
                <w:color w:val="000000" w:themeColor="text1"/>
              </w:rPr>
              <w:t>publica</w:t>
            </w:r>
            <w:proofErr w:type="spellEnd"/>
            <w:r w:rsidR="00F102BC">
              <w:rPr>
                <w:rFonts w:ascii="Arial" w:hAnsi="Arial" w:cs="Arial"/>
                <w:color w:val="000000" w:themeColor="text1"/>
              </w:rPr>
              <w:t xml:space="preserve"> a actualizarse </w:t>
            </w:r>
          </w:p>
        </w:tc>
        <w:tc>
          <w:tcPr>
            <w:tcW w:w="2836" w:type="dxa"/>
            <w:vAlign w:val="center"/>
          </w:tcPr>
          <w:p w14:paraId="160FE453" w14:textId="2FAF0ADF" w:rsidR="00B22ADF" w:rsidRPr="003468DD" w:rsidRDefault="00B22ADF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Garantizar el acceso a la información pública, con el fin de que los ciudadanos ejerzan su derecho de </w:t>
            </w:r>
            <w:r w:rsidR="008613E4">
              <w:rPr>
                <w:rFonts w:ascii="Arial" w:eastAsia="Times New Roman" w:hAnsi="Arial" w:cs="Arial"/>
                <w:color w:val="000000" w:themeColor="text1"/>
                <w:lang w:eastAsia="es-MX"/>
              </w:rPr>
              <w:t>acceso a la información</w:t>
            </w:r>
            <w:r w:rsidRPr="00B1271B">
              <w:rPr>
                <w:rFonts w:ascii="Arial" w:eastAsia="Times New Roman" w:hAnsi="Arial" w:cs="Arial"/>
                <w:color w:val="000000" w:themeColor="text1"/>
                <w:lang w:eastAsia="es-MX"/>
              </w:rPr>
              <w:t>.</w:t>
            </w:r>
          </w:p>
        </w:tc>
        <w:tc>
          <w:tcPr>
            <w:tcW w:w="2977" w:type="dxa"/>
            <w:vAlign w:val="center"/>
          </w:tcPr>
          <w:p w14:paraId="7AB700B1" w14:textId="05C5BC50" w:rsidR="00B22ADF" w:rsidRPr="003468DD" w:rsidRDefault="00F102BC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Realizar</w:t>
            </w:r>
            <w:r w:rsidR="00B22ADF" w:rsidRPr="00B1271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613E4">
              <w:rPr>
                <w:rFonts w:ascii="Arial" w:hAnsi="Arial" w:cs="Arial"/>
                <w:color w:val="000000" w:themeColor="text1"/>
              </w:rPr>
              <w:t xml:space="preserve">la debida gestión y </w:t>
            </w:r>
            <w:r w:rsidR="00B22ADF" w:rsidRPr="00B1271B">
              <w:rPr>
                <w:rFonts w:ascii="Arial" w:hAnsi="Arial" w:cs="Arial"/>
                <w:color w:val="000000" w:themeColor="text1"/>
              </w:rPr>
              <w:t xml:space="preserve">seguimiento a </w:t>
            </w:r>
            <w:r>
              <w:rPr>
                <w:rFonts w:ascii="Arial" w:hAnsi="Arial" w:cs="Arial"/>
                <w:color w:val="000000" w:themeColor="text1"/>
              </w:rPr>
              <w:t>la publicación del portal con la entrega</w:t>
            </w:r>
            <w:r w:rsidR="008613E4">
              <w:rPr>
                <w:rFonts w:ascii="Arial" w:hAnsi="Arial" w:cs="Arial"/>
                <w:color w:val="000000" w:themeColor="text1"/>
              </w:rPr>
              <w:t xml:space="preserve"> con las unidades administrativas internas.</w:t>
            </w:r>
          </w:p>
        </w:tc>
        <w:tc>
          <w:tcPr>
            <w:tcW w:w="2125" w:type="dxa"/>
            <w:vAlign w:val="center"/>
          </w:tcPr>
          <w:p w14:paraId="59A27D83" w14:textId="79AAEB57" w:rsidR="00B22ADF" w:rsidRPr="003468DD" w:rsidRDefault="00B22ADF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 xml:space="preserve">Número de </w:t>
            </w:r>
            <w:r w:rsidR="008613E4">
              <w:rPr>
                <w:rFonts w:ascii="Arial" w:hAnsi="Arial" w:cs="Arial"/>
                <w:color w:val="000000" w:themeColor="text1"/>
              </w:rPr>
              <w:t>oficios</w:t>
            </w:r>
            <w:r w:rsidR="008613E4" w:rsidRPr="00B1271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613E4">
              <w:rPr>
                <w:rFonts w:ascii="Arial" w:hAnsi="Arial" w:cs="Arial"/>
                <w:color w:val="000000" w:themeColor="text1"/>
              </w:rPr>
              <w:t xml:space="preserve">elaborados para gestionar </w:t>
            </w:r>
            <w:r w:rsidR="00F102BC">
              <w:rPr>
                <w:rFonts w:ascii="Arial" w:hAnsi="Arial" w:cs="Arial"/>
                <w:color w:val="000000" w:themeColor="text1"/>
              </w:rPr>
              <w:t>la información fundamenta</w:t>
            </w:r>
            <w:r w:rsidR="00705556">
              <w:rPr>
                <w:rFonts w:ascii="Arial" w:hAnsi="Arial" w:cs="Arial"/>
                <w:color w:val="000000" w:themeColor="text1"/>
              </w:rPr>
              <w:t>l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B5E421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1FDA226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A4275AD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2A960F0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6F8B106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DAC2B37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102B686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20E87B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837A31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43F39CE4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D6B0AA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E4461CC" w14:textId="77777777" w:rsidR="00B22ADF" w:rsidRPr="00E109F9" w:rsidRDefault="00B22ADF" w:rsidP="00B22ADF">
            <w:pPr>
              <w:jc w:val="both"/>
              <w:rPr>
                <w:sz w:val="24"/>
              </w:rPr>
            </w:pPr>
          </w:p>
        </w:tc>
      </w:tr>
      <w:tr w:rsidR="00F102BC" w:rsidRPr="00E109F9" w14:paraId="0E40F151" w14:textId="77777777" w:rsidTr="00F102BC">
        <w:trPr>
          <w:trHeight w:val="2027"/>
        </w:trPr>
        <w:tc>
          <w:tcPr>
            <w:tcW w:w="1980" w:type="dxa"/>
            <w:vAlign w:val="center"/>
          </w:tcPr>
          <w:p w14:paraId="1FD59C61" w14:textId="0322990B" w:rsidR="00F102BC" w:rsidRDefault="00F102BC" w:rsidP="008613E4">
            <w:pPr>
              <w:widowControl w:val="0"/>
              <w:autoSpaceDE w:val="0"/>
              <w:autoSpaceDN w:val="0"/>
              <w:spacing w:after="24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Publicación de la información clasificada como fundamental.</w:t>
            </w:r>
          </w:p>
        </w:tc>
        <w:tc>
          <w:tcPr>
            <w:tcW w:w="2836" w:type="dxa"/>
            <w:vAlign w:val="center"/>
          </w:tcPr>
          <w:p w14:paraId="60DCF0A8" w14:textId="1B1B2223" w:rsidR="00F102BC" w:rsidRPr="00B1271B" w:rsidRDefault="00F102BC" w:rsidP="00B22ADF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hAnsi="Arial" w:cs="Arial"/>
                <w:color w:val="000000" w:themeColor="text1"/>
              </w:rPr>
              <w:t>Recabar y difundir en el portal oficial del Municipio, la información pública fundamental, facilitando el acceso a la misma.</w:t>
            </w:r>
          </w:p>
        </w:tc>
        <w:tc>
          <w:tcPr>
            <w:tcW w:w="2977" w:type="dxa"/>
            <w:vAlign w:val="center"/>
          </w:tcPr>
          <w:p w14:paraId="17093872" w14:textId="2FEAD6EF" w:rsidR="00F102BC" w:rsidRDefault="00F102BC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Actualización de la información pública fundamental, para que esta se encuentre a disposición de la ciudadanía.</w:t>
            </w:r>
          </w:p>
        </w:tc>
        <w:tc>
          <w:tcPr>
            <w:tcW w:w="2125" w:type="dxa"/>
            <w:vAlign w:val="center"/>
          </w:tcPr>
          <w:p w14:paraId="57C737F7" w14:textId="046ED4E6" w:rsidR="00F102BC" w:rsidRPr="00B1271B" w:rsidRDefault="00E646EB" w:rsidP="00B22AD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Porcentaje de carga en la PNT, Portal y CIMTRA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0BAF4AC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F491A36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27F7E81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025027D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DD5744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469AE15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548486D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10F4D8D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31EC66E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EAF4A40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5C0217C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D180A4" w14:textId="77777777" w:rsidR="00F102BC" w:rsidRPr="00E109F9" w:rsidRDefault="00F102BC" w:rsidP="00B22ADF">
            <w:pPr>
              <w:jc w:val="both"/>
              <w:rPr>
                <w:sz w:val="24"/>
              </w:rPr>
            </w:pPr>
          </w:p>
        </w:tc>
      </w:tr>
      <w:tr w:rsidR="00B22ADF" w:rsidRPr="00E109F9" w14:paraId="3AA60226" w14:textId="77777777" w:rsidTr="00F102BC">
        <w:trPr>
          <w:trHeight w:val="2027"/>
        </w:trPr>
        <w:tc>
          <w:tcPr>
            <w:tcW w:w="1980" w:type="dxa"/>
            <w:vAlign w:val="center"/>
          </w:tcPr>
          <w:p w14:paraId="684B0C40" w14:textId="1027B652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Capacitación</w:t>
            </w:r>
            <w:r w:rsidR="008613E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y acompañamiento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continu</w:t>
            </w:r>
            <w:r w:rsidR="008613E4">
              <w:rPr>
                <w:rFonts w:ascii="Arial" w:hAnsi="Arial" w:cs="Arial"/>
                <w:color w:val="000000" w:themeColor="text1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de los servidores públicos</w:t>
            </w:r>
            <w:r w:rsidRPr="003468DD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8613E4">
              <w:rPr>
                <w:rFonts w:ascii="Arial" w:hAnsi="Arial" w:cs="Arial"/>
                <w:color w:val="000000" w:themeColor="text1"/>
                <w:shd w:val="clear" w:color="auto" w:fill="FFFFFF"/>
              </w:rPr>
              <w:t>del sujeto obligado</w:t>
            </w:r>
          </w:p>
        </w:tc>
        <w:tc>
          <w:tcPr>
            <w:tcW w:w="2836" w:type="dxa"/>
            <w:vAlign w:val="center"/>
          </w:tcPr>
          <w:p w14:paraId="2221F33B" w14:textId="5E8A2262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Mejorar la atención que se les</w:t>
            </w:r>
            <w:r>
              <w:rPr>
                <w:rFonts w:ascii="Arial" w:hAnsi="Arial" w:cs="Arial"/>
                <w:color w:val="000000" w:themeColor="text1"/>
              </w:rPr>
              <w:t xml:space="preserve"> brinda</w:t>
            </w:r>
            <w:r w:rsidRPr="003468DD">
              <w:rPr>
                <w:rFonts w:ascii="Arial" w:hAnsi="Arial" w:cs="Arial"/>
                <w:color w:val="000000" w:themeColor="text1"/>
              </w:rPr>
              <w:t xml:space="preserve"> a los solicitantes</w:t>
            </w:r>
            <w:r>
              <w:rPr>
                <w:rFonts w:ascii="Arial" w:hAnsi="Arial" w:cs="Arial"/>
                <w:color w:val="000000" w:themeColor="text1"/>
              </w:rPr>
              <w:t xml:space="preserve"> y ciudadanos</w:t>
            </w:r>
            <w:r w:rsidRPr="003468DD">
              <w:rPr>
                <w:rFonts w:ascii="Arial" w:hAnsi="Arial" w:cs="Arial"/>
                <w:color w:val="000000" w:themeColor="text1"/>
              </w:rPr>
              <w:t>, con el fin de que hagan uso de su derecho de acceso a la información.</w:t>
            </w:r>
          </w:p>
        </w:tc>
        <w:tc>
          <w:tcPr>
            <w:tcW w:w="2977" w:type="dxa"/>
            <w:vAlign w:val="center"/>
          </w:tcPr>
          <w:p w14:paraId="0B7CDB34" w14:textId="65546473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Que los ciudadanos queden complacidos con la atención y asesoría que se les brinda.</w:t>
            </w:r>
          </w:p>
        </w:tc>
        <w:tc>
          <w:tcPr>
            <w:tcW w:w="2125" w:type="dxa"/>
            <w:vAlign w:val="center"/>
          </w:tcPr>
          <w:p w14:paraId="4FF21948" w14:textId="77E0A93C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 xml:space="preserve">Número de </w:t>
            </w:r>
            <w:r>
              <w:rPr>
                <w:rFonts w:ascii="Arial" w:hAnsi="Arial" w:cs="Arial"/>
                <w:color w:val="000000" w:themeColor="text1"/>
              </w:rPr>
              <w:t xml:space="preserve">capacitaciones </w:t>
            </w:r>
            <w:r w:rsidR="00F102BC">
              <w:rPr>
                <w:rFonts w:ascii="Arial" w:hAnsi="Arial" w:cs="Arial"/>
                <w:color w:val="000000" w:themeColor="text1"/>
              </w:rPr>
              <w:t>impartidas</w:t>
            </w:r>
            <w:r w:rsidRPr="003468D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5C0AC43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1B9D364C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938BEAC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0F7CE1D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DAAEB4E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7111CEB9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33482AC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85D6E1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9139C6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63623812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A0DEDE5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36C3E7D" w14:textId="77777777" w:rsidR="00B22ADF" w:rsidRPr="00E109F9" w:rsidRDefault="00B22ADF" w:rsidP="00B22ADF">
            <w:pPr>
              <w:spacing w:after="160"/>
              <w:jc w:val="both"/>
              <w:rPr>
                <w:sz w:val="24"/>
              </w:rPr>
            </w:pPr>
          </w:p>
        </w:tc>
      </w:tr>
    </w:tbl>
    <w:p w14:paraId="4C5E0A89" w14:textId="77777777" w:rsidR="00177B37" w:rsidRDefault="00177B37" w:rsidP="00497664">
      <w:pPr>
        <w:jc w:val="both"/>
        <w:rPr>
          <w:sz w:val="24"/>
        </w:rPr>
      </w:pPr>
    </w:p>
    <w:p w14:paraId="4EC70A0D" w14:textId="77777777" w:rsidR="00177B37" w:rsidRDefault="00177B37" w:rsidP="0004090B">
      <w:pPr>
        <w:rPr>
          <w:sz w:val="24"/>
        </w:rPr>
      </w:pPr>
    </w:p>
    <w:p w14:paraId="44D97E39" w14:textId="77777777" w:rsidR="00177B37" w:rsidRPr="0004090B" w:rsidRDefault="00177B37" w:rsidP="0004090B">
      <w:pPr>
        <w:rPr>
          <w:sz w:val="24"/>
        </w:rPr>
      </w:pPr>
    </w:p>
    <w:sectPr w:rsidR="00177B37" w:rsidRPr="0004090B" w:rsidSect="00497664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38AC" w14:textId="77777777" w:rsidR="00DD6BD3" w:rsidRDefault="00DD6BD3" w:rsidP="004D7C4F">
      <w:pPr>
        <w:spacing w:after="0" w:line="240" w:lineRule="auto"/>
      </w:pPr>
      <w:r>
        <w:separator/>
      </w:r>
    </w:p>
  </w:endnote>
  <w:endnote w:type="continuationSeparator" w:id="0">
    <w:p w14:paraId="022DDE7C" w14:textId="77777777" w:rsidR="00DD6BD3" w:rsidRDefault="00DD6BD3" w:rsidP="004D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F0CF" w14:textId="77777777" w:rsidR="00497664" w:rsidRPr="00E109F9" w:rsidRDefault="00497664" w:rsidP="00497664">
    <w:pPr>
      <w:spacing w:after="0"/>
      <w:rPr>
        <w:rFonts w:cs="Arial"/>
        <w:b/>
        <w:bCs/>
        <w:color w:val="595959" w:themeColor="text1" w:themeTint="A6"/>
        <w:sz w:val="24"/>
      </w:rPr>
    </w:pPr>
    <w:r w:rsidRPr="00E109F9">
      <w:rPr>
        <w:rFonts w:cs="Arial"/>
        <w:b/>
        <w:bCs/>
        <w:color w:val="595959" w:themeColor="text1" w:themeTint="A6"/>
        <w:sz w:val="24"/>
      </w:rPr>
      <w:t>COORDINACIÓN:</w:t>
    </w:r>
    <w:r w:rsidRPr="00506B5D">
      <w:rPr>
        <w:rFonts w:ascii="Arial" w:hAnsi="Arial" w:cs="Arial"/>
        <w:sz w:val="24"/>
        <w:szCs w:val="24"/>
      </w:rPr>
      <w:t xml:space="preserve"> </w:t>
    </w:r>
    <w:r w:rsidRPr="00506B5D">
      <w:rPr>
        <w:rFonts w:cs="Arial"/>
        <w:b/>
        <w:bCs/>
        <w:color w:val="595959" w:themeColor="text1" w:themeTint="A6"/>
        <w:sz w:val="24"/>
      </w:rPr>
      <w:t>Coordinador General de Transparencia, Archivo y Gobierno Abierto</w:t>
    </w:r>
  </w:p>
  <w:p w14:paraId="5CA2826E" w14:textId="17D120BC" w:rsidR="00C72BF1" w:rsidRDefault="00C72BF1" w:rsidP="00497664">
    <w:pPr>
      <w:spacing w:after="0"/>
      <w:rPr>
        <w:rFonts w:cs="Arial"/>
        <w:b/>
        <w:bCs/>
        <w:color w:val="595959" w:themeColor="text1" w:themeTint="A6"/>
        <w:sz w:val="24"/>
      </w:rPr>
    </w:pPr>
    <w:r>
      <w:rPr>
        <w:rFonts w:cs="Arial"/>
        <w:b/>
        <w:bCs/>
        <w:color w:val="595959" w:themeColor="text1" w:themeTint="A6"/>
        <w:sz w:val="24"/>
      </w:rPr>
      <w:t>DIRECCIÓN: Dirección de Transparencia y Buenas Prácticas</w:t>
    </w:r>
  </w:p>
  <w:p w14:paraId="5A1108AB" w14:textId="4C00FACE" w:rsidR="00497664" w:rsidRPr="00E109F9" w:rsidRDefault="00497664" w:rsidP="00497664">
    <w:pPr>
      <w:spacing w:after="0"/>
      <w:rPr>
        <w:rFonts w:cs="Arial"/>
        <w:b/>
        <w:bCs/>
        <w:color w:val="595959" w:themeColor="text1" w:themeTint="A6"/>
        <w:sz w:val="24"/>
      </w:rPr>
    </w:pPr>
    <w:r w:rsidRPr="00E109F9">
      <w:rPr>
        <w:rFonts w:cs="Arial"/>
        <w:b/>
        <w:bCs/>
        <w:color w:val="595959" w:themeColor="text1" w:themeTint="A6"/>
        <w:sz w:val="24"/>
      </w:rPr>
      <w:t>DEPENDENCIA:</w:t>
    </w:r>
    <w:r>
      <w:rPr>
        <w:rFonts w:cs="Arial"/>
        <w:b/>
        <w:bCs/>
        <w:color w:val="595959" w:themeColor="text1" w:themeTint="A6"/>
        <w:sz w:val="24"/>
      </w:rPr>
      <w:t xml:space="preserve"> </w:t>
    </w:r>
    <w:r w:rsidR="00C72BF1">
      <w:rPr>
        <w:rFonts w:cs="Arial"/>
        <w:b/>
        <w:bCs/>
        <w:color w:val="595959" w:themeColor="text1" w:themeTint="A6"/>
        <w:sz w:val="24"/>
      </w:rPr>
      <w:t>Jefatura de Información Fundamental</w:t>
    </w:r>
  </w:p>
  <w:p w14:paraId="7EB73FFD" w14:textId="77777777" w:rsidR="00E109F9" w:rsidRDefault="00E109F9" w:rsidP="00E109F9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4544B2B" wp14:editId="70D49865">
          <wp:simplePos x="0" y="0"/>
          <wp:positionH relativeFrom="margin">
            <wp:align>center</wp:align>
          </wp:positionH>
          <wp:positionV relativeFrom="paragraph">
            <wp:posOffset>-112481</wp:posOffset>
          </wp:positionV>
          <wp:extent cx="1470658" cy="5820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58" cy="58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08CA" w14:textId="77777777" w:rsidR="00DD6BD3" w:rsidRDefault="00DD6BD3" w:rsidP="004D7C4F">
      <w:pPr>
        <w:spacing w:after="0" w:line="240" w:lineRule="auto"/>
      </w:pPr>
      <w:r>
        <w:separator/>
      </w:r>
    </w:p>
  </w:footnote>
  <w:footnote w:type="continuationSeparator" w:id="0">
    <w:p w14:paraId="14330563" w14:textId="77777777" w:rsidR="00DD6BD3" w:rsidRDefault="00DD6BD3" w:rsidP="004D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C059" w14:textId="7915115A" w:rsidR="00177B37" w:rsidRPr="00177B37" w:rsidRDefault="0099444C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E87EC5">
      <w:rPr>
        <w:rFonts w:ascii="Arial" w:eastAsia="Times New Roman" w:hAnsi="Arial" w:cs="Arial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0E85324E" wp14:editId="136C33EC">
          <wp:simplePos x="0" y="0"/>
          <wp:positionH relativeFrom="page">
            <wp:posOffset>10223500</wp:posOffset>
          </wp:positionH>
          <wp:positionV relativeFrom="paragraph">
            <wp:posOffset>-62230</wp:posOffset>
          </wp:positionV>
          <wp:extent cx="1540615" cy="683741"/>
          <wp:effectExtent l="0" t="0" r="2540" b="2540"/>
          <wp:wrapNone/>
          <wp:docPr id="40" name="Imagen 40" descr="C:\Users\Lenovo\Downloads\WhatsAppImage2022-01-12at12.53.47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Image2022-01-12at12.53.47PM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3" t="15020" r="9713" b="39351"/>
                  <a:stretch/>
                </pic:blipFill>
                <pic:spPr bwMode="auto">
                  <a:xfrm>
                    <a:off x="0" y="0"/>
                    <a:ext cx="1540615" cy="683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0783F2" wp14:editId="633B20F6">
          <wp:simplePos x="0" y="0"/>
          <wp:positionH relativeFrom="margin">
            <wp:posOffset>-38100</wp:posOffset>
          </wp:positionH>
          <wp:positionV relativeFrom="paragraph">
            <wp:posOffset>-95885</wp:posOffset>
          </wp:positionV>
          <wp:extent cx="1555750" cy="596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B37"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EL SALTO</w:t>
    </w:r>
  </w:p>
  <w:p w14:paraId="142FFE43" w14:textId="77777777" w:rsidR="00177B37" w:rsidRPr="00177B37" w:rsidRDefault="00177B37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GOBIERNO MUNICIPAL</w:t>
    </w:r>
  </w:p>
  <w:p w14:paraId="103A0159" w14:textId="77777777" w:rsidR="00177B37" w:rsidRPr="00177B37" w:rsidRDefault="00177B37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PROGRAMA OPERATIVO ANUAL 2022</w:t>
    </w:r>
  </w:p>
  <w:p w14:paraId="1C525EDE" w14:textId="77777777" w:rsidR="00177B37" w:rsidRDefault="00177B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CD"/>
    <w:multiLevelType w:val="hybridMultilevel"/>
    <w:tmpl w:val="E166C15C"/>
    <w:lvl w:ilvl="0" w:tplc="9556688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w w:val="100"/>
        <w:sz w:val="24"/>
        <w:szCs w:val="24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E22"/>
    <w:multiLevelType w:val="hybridMultilevel"/>
    <w:tmpl w:val="9A44A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62E"/>
    <w:multiLevelType w:val="hybridMultilevel"/>
    <w:tmpl w:val="0E262112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08FB"/>
    <w:multiLevelType w:val="hybridMultilevel"/>
    <w:tmpl w:val="69E60094"/>
    <w:lvl w:ilvl="0" w:tplc="80C210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48C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0C36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C67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A6F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E2B2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478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C63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34F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58446FE"/>
    <w:multiLevelType w:val="hybridMultilevel"/>
    <w:tmpl w:val="75BE957C"/>
    <w:lvl w:ilvl="0" w:tplc="5B18384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6FF4"/>
    <w:multiLevelType w:val="hybridMultilevel"/>
    <w:tmpl w:val="4DB6A1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B9F"/>
    <w:multiLevelType w:val="hybridMultilevel"/>
    <w:tmpl w:val="2B7201D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0B"/>
    <w:rsid w:val="0004090B"/>
    <w:rsid w:val="00177B37"/>
    <w:rsid w:val="00246179"/>
    <w:rsid w:val="002A427A"/>
    <w:rsid w:val="002F4DB8"/>
    <w:rsid w:val="003B29E1"/>
    <w:rsid w:val="00444148"/>
    <w:rsid w:val="00475A1D"/>
    <w:rsid w:val="00497664"/>
    <w:rsid w:val="004D7C4F"/>
    <w:rsid w:val="00506B5D"/>
    <w:rsid w:val="005F7B10"/>
    <w:rsid w:val="0060678E"/>
    <w:rsid w:val="006307B3"/>
    <w:rsid w:val="006D6CC9"/>
    <w:rsid w:val="00705556"/>
    <w:rsid w:val="00712CA6"/>
    <w:rsid w:val="007B7CCF"/>
    <w:rsid w:val="0080293B"/>
    <w:rsid w:val="008613E4"/>
    <w:rsid w:val="00891C9B"/>
    <w:rsid w:val="0097415C"/>
    <w:rsid w:val="00977974"/>
    <w:rsid w:val="0099444C"/>
    <w:rsid w:val="009A6B78"/>
    <w:rsid w:val="00AB2149"/>
    <w:rsid w:val="00B22ADF"/>
    <w:rsid w:val="00C15B99"/>
    <w:rsid w:val="00C3622A"/>
    <w:rsid w:val="00C72BF1"/>
    <w:rsid w:val="00CA1941"/>
    <w:rsid w:val="00CE45D3"/>
    <w:rsid w:val="00D52246"/>
    <w:rsid w:val="00DD181D"/>
    <w:rsid w:val="00DD6BD3"/>
    <w:rsid w:val="00E109F9"/>
    <w:rsid w:val="00E646EB"/>
    <w:rsid w:val="00F102BC"/>
    <w:rsid w:val="00F24DBA"/>
    <w:rsid w:val="00F55577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15130"/>
  <w15:chartTrackingRefBased/>
  <w15:docId w15:val="{9140D9CF-BDA6-443B-BCC6-80AA7507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0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C4F"/>
  </w:style>
  <w:style w:type="paragraph" w:styleId="Piedepgina">
    <w:name w:val="footer"/>
    <w:basedOn w:val="Normal"/>
    <w:link w:val="PiedepginaCar"/>
    <w:uiPriority w:val="99"/>
    <w:unhideWhenUsed/>
    <w:rsid w:val="004D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C4F"/>
  </w:style>
  <w:style w:type="paragraph" w:styleId="Prrafodelista">
    <w:name w:val="List Paragraph"/>
    <w:basedOn w:val="Normal"/>
    <w:uiPriority w:val="34"/>
    <w:qFormat/>
    <w:rsid w:val="002461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7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07BD-4F3B-45BF-944D-295227D5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12</cp:revision>
  <cp:lastPrinted>2022-01-27T17:38:00Z</cp:lastPrinted>
  <dcterms:created xsi:type="dcterms:W3CDTF">2022-01-20T16:04:00Z</dcterms:created>
  <dcterms:modified xsi:type="dcterms:W3CDTF">2022-02-01T19:05:00Z</dcterms:modified>
</cp:coreProperties>
</file>