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851"/>
        </w:tabs>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tabs>
          <w:tab w:val="left" w:pos="5851"/>
        </w:tabs>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tabs>
          <w:tab w:val="left" w:pos="5700"/>
        </w:tabs>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Dirección de Transparencia y Buenas Prácticas perteneciente a la Coordinador General de Transparencia, Archivo y Gobierno Abierto, desarrollará sus actividades con apego,  a los artículos 216 y 218 del Reglamento General del Municipio de El Salto, Jalisco, así como las legislaciones aplicables de la materia, realizando las tareas necesarias para atender las diversas áreas de oportunidad que han sido identificadas por esta administración, así como las que durante el transcurso de la misma resulten.</w:t>
      </w:r>
    </w:p>
    <w:p w:rsidR="00000000" w:rsidDel="00000000" w:rsidP="00000000" w:rsidRDefault="00000000" w:rsidRPr="00000000" w14:paraId="00000004">
      <w:pPr>
        <w:tabs>
          <w:tab w:val="left" w:pos="5700"/>
        </w:tabs>
        <w:spacing w:after="0" w:line="36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tabs>
          <w:tab w:val="left" w:pos="5700"/>
        </w:tabs>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presente Plan Operativo Anual, tiene como finalidad crear una estrategia de actividades, proyectos y acciones llevados a cabo por la Dirección de Transparencia y Buenas Prácticas para resolver de manera eficiente y eficaz cada uno de los procesos administrativos que se deban realizar, bajo los principios de legalidad y debido procedimiento.</w:t>
      </w:r>
    </w:p>
    <w:p w:rsidR="00000000" w:rsidDel="00000000" w:rsidP="00000000" w:rsidRDefault="00000000" w:rsidRPr="00000000" w14:paraId="00000006">
      <w:pPr>
        <w:tabs>
          <w:tab w:val="left" w:pos="5700"/>
        </w:tabs>
        <w:spacing w:after="0" w:line="36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700"/>
        </w:tabs>
        <w:spacing w:after="0" w:before="0" w:line="360" w:lineRule="auto"/>
        <w:ind w:left="502"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Diagnóstico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Eficientizar los procesos internos para mejorar la calidad y procesos de transparentar el ejercicio de la función pública.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700"/>
        </w:tabs>
        <w:spacing w:after="0" w:before="0" w:line="360" w:lineRule="auto"/>
        <w:ind w:left="50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Objetivos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99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Garantizar el derecho de acceso a la información y atender los procesos relacionados con el ejercicio de Derecho ARCO a través de los mecanismos implementados para ello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700"/>
        </w:tabs>
        <w:spacing w:after="0" w:before="0" w:line="360" w:lineRule="auto"/>
        <w:ind w:left="502"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Cronograma de actividades  </w:t>
      </w:r>
    </w:p>
    <w:p w:rsidR="00000000" w:rsidDel="00000000" w:rsidP="00000000" w:rsidRDefault="00000000" w:rsidRPr="00000000" w14:paraId="0000000C">
      <w:pPr>
        <w:tabs>
          <w:tab w:val="left" w:pos="5851"/>
        </w:tabs>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D">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0E">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0F">
      <w:pPr>
        <w:spacing w:after="0" w:lineRule="auto"/>
        <w:rPr>
          <w:b w:val="1"/>
          <w:color w:val="595959"/>
          <w:sz w:val="24"/>
          <w:szCs w:val="24"/>
        </w:rPr>
      </w:pPr>
      <w:r w:rsidDel="00000000" w:rsidR="00000000" w:rsidRPr="00000000">
        <w:rPr>
          <w:rtl w:val="0"/>
        </w:rPr>
      </w:r>
    </w:p>
    <w:tbl>
      <w:tblPr>
        <w:tblStyle w:val="Table1"/>
        <w:tblW w:w="18141.000000000007"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836"/>
        <w:gridCol w:w="2977"/>
        <w:gridCol w:w="1843"/>
        <w:gridCol w:w="709"/>
        <w:gridCol w:w="708"/>
        <w:gridCol w:w="709"/>
        <w:gridCol w:w="709"/>
        <w:gridCol w:w="709"/>
        <w:gridCol w:w="708"/>
        <w:gridCol w:w="709"/>
        <w:gridCol w:w="709"/>
        <w:gridCol w:w="709"/>
        <w:gridCol w:w="708"/>
        <w:gridCol w:w="709"/>
        <w:gridCol w:w="709"/>
        <w:tblGridChange w:id="0">
          <w:tblGrid>
            <w:gridCol w:w="1980"/>
            <w:gridCol w:w="2836"/>
            <w:gridCol w:w="2977"/>
            <w:gridCol w:w="1843"/>
            <w:gridCol w:w="709"/>
            <w:gridCol w:w="708"/>
            <w:gridCol w:w="709"/>
            <w:gridCol w:w="709"/>
            <w:gridCol w:w="709"/>
            <w:gridCol w:w="708"/>
            <w:gridCol w:w="709"/>
            <w:gridCol w:w="709"/>
            <w:gridCol w:w="709"/>
            <w:gridCol w:w="708"/>
            <w:gridCol w:w="709"/>
            <w:gridCol w:w="709"/>
          </w:tblGrid>
        </w:tblGridChange>
      </w:tblGrid>
      <w:tr>
        <w:trPr>
          <w:cantSplit w:val="0"/>
          <w:trHeight w:val="274" w:hRule="atLeast"/>
          <w:tblHeader w:val="0"/>
        </w:trPr>
        <w:tc>
          <w:tcPr>
            <w:vMerge w:val="restart"/>
            <w:shd w:fill="595959" w:val="clear"/>
            <w:vAlign w:val="center"/>
          </w:tcPr>
          <w:p w:rsidR="00000000" w:rsidDel="00000000" w:rsidP="00000000" w:rsidRDefault="00000000" w:rsidRPr="00000000" w14:paraId="00000010">
            <w:pPr>
              <w:spacing w:after="160" w:lineRule="auto"/>
              <w:jc w:val="center"/>
              <w:rPr>
                <w:b w:val="1"/>
                <w:color w:val="ffffff"/>
                <w:sz w:val="24"/>
                <w:szCs w:val="24"/>
              </w:rPr>
            </w:pPr>
            <w:r w:rsidDel="00000000" w:rsidR="00000000" w:rsidRPr="00000000">
              <w:rPr>
                <w:b w:val="1"/>
                <w:color w:val="ffffff"/>
                <w:sz w:val="24"/>
                <w:szCs w:val="24"/>
                <w:rtl w:val="0"/>
              </w:rPr>
              <w:t xml:space="preserve">ACCIONES</w:t>
            </w:r>
          </w:p>
        </w:tc>
        <w:tc>
          <w:tcPr>
            <w:vMerge w:val="restart"/>
            <w:shd w:fill="595959" w:val="clear"/>
            <w:vAlign w:val="center"/>
          </w:tcPr>
          <w:p w:rsidR="00000000" w:rsidDel="00000000" w:rsidP="00000000" w:rsidRDefault="00000000" w:rsidRPr="00000000" w14:paraId="00000011">
            <w:pPr>
              <w:spacing w:after="160" w:lineRule="auto"/>
              <w:jc w:val="center"/>
              <w:rPr>
                <w:b w:val="1"/>
                <w:color w:val="ffffff"/>
                <w:sz w:val="24"/>
                <w:szCs w:val="24"/>
              </w:rPr>
            </w:pPr>
            <w:r w:rsidDel="00000000" w:rsidR="00000000" w:rsidRPr="00000000">
              <w:rPr>
                <w:b w:val="1"/>
                <w:color w:val="ffffff"/>
                <w:sz w:val="24"/>
                <w:szCs w:val="24"/>
                <w:rtl w:val="0"/>
              </w:rPr>
              <w:t xml:space="preserve">OBJETIVOS</w:t>
            </w:r>
          </w:p>
        </w:tc>
        <w:tc>
          <w:tcPr>
            <w:vMerge w:val="restart"/>
            <w:shd w:fill="595959" w:val="clear"/>
            <w:vAlign w:val="center"/>
          </w:tcPr>
          <w:p w:rsidR="00000000" w:rsidDel="00000000" w:rsidP="00000000" w:rsidRDefault="00000000" w:rsidRPr="00000000" w14:paraId="00000012">
            <w:pPr>
              <w:spacing w:after="160" w:lineRule="auto"/>
              <w:jc w:val="center"/>
              <w:rPr>
                <w:b w:val="1"/>
                <w:color w:val="ffffff"/>
                <w:sz w:val="24"/>
                <w:szCs w:val="24"/>
              </w:rPr>
            </w:pPr>
            <w:r w:rsidDel="00000000" w:rsidR="00000000" w:rsidRPr="00000000">
              <w:rPr>
                <w:b w:val="1"/>
                <w:color w:val="ffffff"/>
                <w:sz w:val="24"/>
                <w:szCs w:val="24"/>
                <w:rtl w:val="0"/>
              </w:rPr>
              <w:t xml:space="preserve">METAS ESTIMADAS</w:t>
            </w:r>
          </w:p>
        </w:tc>
        <w:tc>
          <w:tcPr>
            <w:vMerge w:val="restart"/>
            <w:shd w:fill="595959" w:val="clear"/>
            <w:vAlign w:val="center"/>
          </w:tcPr>
          <w:p w:rsidR="00000000" w:rsidDel="00000000" w:rsidP="00000000" w:rsidRDefault="00000000" w:rsidRPr="00000000" w14:paraId="00000013">
            <w:pPr>
              <w:spacing w:after="160" w:lineRule="auto"/>
              <w:jc w:val="center"/>
              <w:rPr>
                <w:b w:val="1"/>
                <w:color w:val="ffffff"/>
                <w:sz w:val="24"/>
                <w:szCs w:val="24"/>
              </w:rPr>
            </w:pPr>
            <w:r w:rsidDel="00000000" w:rsidR="00000000" w:rsidRPr="00000000">
              <w:rPr>
                <w:b w:val="1"/>
                <w:color w:val="ffffff"/>
                <w:sz w:val="24"/>
                <w:szCs w:val="24"/>
                <w:rtl w:val="0"/>
              </w:rPr>
              <w:t xml:space="preserve">INDICADOR</w:t>
            </w:r>
          </w:p>
        </w:tc>
        <w:tc>
          <w:tcPr>
            <w:gridSpan w:val="12"/>
            <w:shd w:fill="595959" w:val="clear"/>
            <w:vAlign w:val="center"/>
          </w:tcPr>
          <w:p w:rsidR="00000000" w:rsidDel="00000000" w:rsidP="00000000" w:rsidRDefault="00000000" w:rsidRPr="00000000" w14:paraId="00000014">
            <w:pPr>
              <w:spacing w:after="160" w:lineRule="auto"/>
              <w:jc w:val="center"/>
              <w:rPr>
                <w:b w:val="1"/>
                <w:sz w:val="24"/>
                <w:szCs w:val="24"/>
              </w:rPr>
            </w:pPr>
            <w:r w:rsidDel="00000000" w:rsidR="00000000" w:rsidRPr="00000000">
              <w:rPr>
                <w:b w:val="1"/>
                <w:color w:val="ffffff"/>
                <w:sz w:val="24"/>
                <w:szCs w:val="24"/>
                <w:rtl w:val="0"/>
              </w:rPr>
              <w:t xml:space="preserve">PROGRAMACIÓN ANUAL</w:t>
            </w:r>
            <w:r w:rsidDel="00000000" w:rsidR="00000000" w:rsidRPr="00000000">
              <w:rPr>
                <w:rtl w:val="0"/>
              </w:rPr>
            </w:r>
          </w:p>
        </w:tc>
      </w:tr>
      <w:tr>
        <w:trPr>
          <w:cantSplit w:val="1"/>
          <w:trHeight w:val="786" w:hRule="atLeast"/>
          <w:tblHeader w:val="0"/>
        </w:trPr>
        <w:tc>
          <w:tcPr>
            <w:vMerge w:val="continue"/>
            <w:shd w:fill="595959"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595959"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595959"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595959"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024">
            <w:pPr>
              <w:spacing w:after="160" w:lineRule="auto"/>
              <w:jc w:val="center"/>
              <w:rPr>
                <w:b w:val="1"/>
                <w:sz w:val="16"/>
                <w:szCs w:val="16"/>
              </w:rPr>
            </w:pPr>
            <w:r w:rsidDel="00000000" w:rsidR="00000000" w:rsidRPr="00000000">
              <w:rPr>
                <w:b w:val="1"/>
                <w:sz w:val="16"/>
                <w:szCs w:val="16"/>
                <w:rtl w:val="0"/>
              </w:rPr>
              <w:t xml:space="preserve">Enero</w:t>
            </w:r>
          </w:p>
        </w:tc>
        <w:tc>
          <w:tcPr>
            <w:shd w:fill="bfbfbf" w:val="clear"/>
            <w:vAlign w:val="center"/>
          </w:tcPr>
          <w:p w:rsidR="00000000" w:rsidDel="00000000" w:rsidP="00000000" w:rsidRDefault="00000000" w:rsidRPr="00000000" w14:paraId="00000025">
            <w:pPr>
              <w:spacing w:after="160" w:lineRule="auto"/>
              <w:jc w:val="center"/>
              <w:rPr>
                <w:b w:val="1"/>
                <w:sz w:val="16"/>
                <w:szCs w:val="16"/>
              </w:rPr>
            </w:pPr>
            <w:r w:rsidDel="00000000" w:rsidR="00000000" w:rsidRPr="00000000">
              <w:rPr>
                <w:b w:val="1"/>
                <w:sz w:val="16"/>
                <w:szCs w:val="16"/>
                <w:rtl w:val="0"/>
              </w:rPr>
              <w:t xml:space="preserve">Febrero</w:t>
            </w:r>
          </w:p>
        </w:tc>
        <w:tc>
          <w:tcPr>
            <w:shd w:fill="bfbfbf" w:val="clear"/>
            <w:vAlign w:val="center"/>
          </w:tcPr>
          <w:p w:rsidR="00000000" w:rsidDel="00000000" w:rsidP="00000000" w:rsidRDefault="00000000" w:rsidRPr="00000000" w14:paraId="00000026">
            <w:pPr>
              <w:spacing w:after="160" w:lineRule="auto"/>
              <w:jc w:val="center"/>
              <w:rPr>
                <w:b w:val="1"/>
                <w:sz w:val="16"/>
                <w:szCs w:val="16"/>
              </w:rPr>
            </w:pPr>
            <w:r w:rsidDel="00000000" w:rsidR="00000000" w:rsidRPr="00000000">
              <w:rPr>
                <w:b w:val="1"/>
                <w:sz w:val="16"/>
                <w:szCs w:val="16"/>
                <w:rtl w:val="0"/>
              </w:rPr>
              <w:t xml:space="preserve">Marzo</w:t>
            </w:r>
          </w:p>
        </w:tc>
        <w:tc>
          <w:tcPr>
            <w:shd w:fill="bfbfbf" w:val="clear"/>
            <w:vAlign w:val="center"/>
          </w:tcPr>
          <w:p w:rsidR="00000000" w:rsidDel="00000000" w:rsidP="00000000" w:rsidRDefault="00000000" w:rsidRPr="00000000" w14:paraId="00000027">
            <w:pPr>
              <w:spacing w:after="160" w:lineRule="auto"/>
              <w:jc w:val="center"/>
              <w:rPr>
                <w:b w:val="1"/>
                <w:sz w:val="16"/>
                <w:szCs w:val="16"/>
              </w:rPr>
            </w:pPr>
            <w:r w:rsidDel="00000000" w:rsidR="00000000" w:rsidRPr="00000000">
              <w:rPr>
                <w:b w:val="1"/>
                <w:sz w:val="16"/>
                <w:szCs w:val="16"/>
                <w:rtl w:val="0"/>
              </w:rPr>
              <w:t xml:space="preserve">Abril</w:t>
            </w:r>
          </w:p>
        </w:tc>
        <w:tc>
          <w:tcPr>
            <w:shd w:fill="bfbfbf" w:val="clear"/>
            <w:vAlign w:val="center"/>
          </w:tcPr>
          <w:p w:rsidR="00000000" w:rsidDel="00000000" w:rsidP="00000000" w:rsidRDefault="00000000" w:rsidRPr="00000000" w14:paraId="00000028">
            <w:pPr>
              <w:spacing w:after="160" w:lineRule="auto"/>
              <w:jc w:val="center"/>
              <w:rPr>
                <w:b w:val="1"/>
                <w:sz w:val="16"/>
                <w:szCs w:val="16"/>
              </w:rPr>
            </w:pPr>
            <w:r w:rsidDel="00000000" w:rsidR="00000000" w:rsidRPr="00000000">
              <w:rPr>
                <w:b w:val="1"/>
                <w:sz w:val="16"/>
                <w:szCs w:val="16"/>
                <w:rtl w:val="0"/>
              </w:rPr>
              <w:t xml:space="preserve">Mayo</w:t>
            </w:r>
          </w:p>
        </w:tc>
        <w:tc>
          <w:tcPr>
            <w:shd w:fill="bfbfbf" w:val="clear"/>
            <w:vAlign w:val="center"/>
          </w:tcPr>
          <w:p w:rsidR="00000000" w:rsidDel="00000000" w:rsidP="00000000" w:rsidRDefault="00000000" w:rsidRPr="00000000" w14:paraId="00000029">
            <w:pPr>
              <w:spacing w:after="160" w:lineRule="auto"/>
              <w:jc w:val="center"/>
              <w:rPr>
                <w:b w:val="1"/>
                <w:sz w:val="16"/>
                <w:szCs w:val="16"/>
              </w:rPr>
            </w:pPr>
            <w:r w:rsidDel="00000000" w:rsidR="00000000" w:rsidRPr="00000000">
              <w:rPr>
                <w:b w:val="1"/>
                <w:sz w:val="16"/>
                <w:szCs w:val="16"/>
                <w:rtl w:val="0"/>
              </w:rPr>
              <w:t xml:space="preserve">Junio</w:t>
            </w:r>
          </w:p>
        </w:tc>
        <w:tc>
          <w:tcPr>
            <w:shd w:fill="bfbfbf" w:val="clear"/>
            <w:vAlign w:val="center"/>
          </w:tcPr>
          <w:p w:rsidR="00000000" w:rsidDel="00000000" w:rsidP="00000000" w:rsidRDefault="00000000" w:rsidRPr="00000000" w14:paraId="0000002A">
            <w:pPr>
              <w:spacing w:after="160" w:lineRule="auto"/>
              <w:jc w:val="center"/>
              <w:rPr>
                <w:b w:val="1"/>
                <w:sz w:val="16"/>
                <w:szCs w:val="16"/>
              </w:rPr>
            </w:pPr>
            <w:r w:rsidDel="00000000" w:rsidR="00000000" w:rsidRPr="00000000">
              <w:rPr>
                <w:b w:val="1"/>
                <w:sz w:val="16"/>
                <w:szCs w:val="16"/>
                <w:rtl w:val="0"/>
              </w:rPr>
              <w:t xml:space="preserve">Julio</w:t>
            </w:r>
          </w:p>
        </w:tc>
        <w:tc>
          <w:tcPr>
            <w:shd w:fill="bfbfbf" w:val="clear"/>
            <w:vAlign w:val="center"/>
          </w:tcPr>
          <w:p w:rsidR="00000000" w:rsidDel="00000000" w:rsidP="00000000" w:rsidRDefault="00000000" w:rsidRPr="00000000" w14:paraId="0000002B">
            <w:pPr>
              <w:spacing w:after="160" w:lineRule="auto"/>
              <w:jc w:val="center"/>
              <w:rPr>
                <w:b w:val="1"/>
                <w:sz w:val="16"/>
                <w:szCs w:val="16"/>
              </w:rPr>
            </w:pPr>
            <w:r w:rsidDel="00000000" w:rsidR="00000000" w:rsidRPr="00000000">
              <w:rPr>
                <w:b w:val="1"/>
                <w:sz w:val="16"/>
                <w:szCs w:val="16"/>
                <w:rtl w:val="0"/>
              </w:rPr>
              <w:t xml:space="preserve">Agosto</w:t>
            </w:r>
          </w:p>
        </w:tc>
        <w:tc>
          <w:tcPr>
            <w:shd w:fill="bfbfbf" w:val="clear"/>
            <w:vAlign w:val="center"/>
          </w:tcPr>
          <w:p w:rsidR="00000000" w:rsidDel="00000000" w:rsidP="00000000" w:rsidRDefault="00000000" w:rsidRPr="00000000" w14:paraId="0000002C">
            <w:pPr>
              <w:spacing w:after="160" w:lineRule="auto"/>
              <w:jc w:val="center"/>
              <w:rPr>
                <w:b w:val="1"/>
                <w:sz w:val="16"/>
                <w:szCs w:val="16"/>
              </w:rPr>
            </w:pPr>
            <w:r w:rsidDel="00000000" w:rsidR="00000000" w:rsidRPr="00000000">
              <w:rPr>
                <w:b w:val="1"/>
                <w:sz w:val="16"/>
                <w:szCs w:val="16"/>
                <w:rtl w:val="0"/>
              </w:rPr>
              <w:t xml:space="preserve">Septiembre</w:t>
            </w:r>
          </w:p>
        </w:tc>
        <w:tc>
          <w:tcPr>
            <w:shd w:fill="bfbfbf" w:val="clear"/>
            <w:vAlign w:val="center"/>
          </w:tcPr>
          <w:p w:rsidR="00000000" w:rsidDel="00000000" w:rsidP="00000000" w:rsidRDefault="00000000" w:rsidRPr="00000000" w14:paraId="0000002D">
            <w:pPr>
              <w:spacing w:after="160" w:lineRule="auto"/>
              <w:jc w:val="center"/>
              <w:rPr>
                <w:b w:val="1"/>
                <w:sz w:val="16"/>
                <w:szCs w:val="16"/>
              </w:rPr>
            </w:pPr>
            <w:r w:rsidDel="00000000" w:rsidR="00000000" w:rsidRPr="00000000">
              <w:rPr>
                <w:b w:val="1"/>
                <w:sz w:val="16"/>
                <w:szCs w:val="16"/>
                <w:rtl w:val="0"/>
              </w:rPr>
              <w:t xml:space="preserve">Octubre</w:t>
            </w:r>
          </w:p>
        </w:tc>
        <w:tc>
          <w:tcPr>
            <w:shd w:fill="bfbfbf" w:val="clear"/>
            <w:vAlign w:val="center"/>
          </w:tcPr>
          <w:p w:rsidR="00000000" w:rsidDel="00000000" w:rsidP="00000000" w:rsidRDefault="00000000" w:rsidRPr="00000000" w14:paraId="0000002E">
            <w:pPr>
              <w:spacing w:after="160" w:lineRule="auto"/>
              <w:jc w:val="center"/>
              <w:rPr>
                <w:b w:val="1"/>
                <w:sz w:val="16"/>
                <w:szCs w:val="16"/>
              </w:rPr>
            </w:pPr>
            <w:r w:rsidDel="00000000" w:rsidR="00000000" w:rsidRPr="00000000">
              <w:rPr>
                <w:b w:val="1"/>
                <w:sz w:val="16"/>
                <w:szCs w:val="16"/>
                <w:rtl w:val="0"/>
              </w:rPr>
              <w:t xml:space="preserve">Noviembre</w:t>
            </w:r>
          </w:p>
        </w:tc>
        <w:tc>
          <w:tcPr>
            <w:shd w:fill="bfbfbf" w:val="clear"/>
            <w:vAlign w:val="center"/>
          </w:tcPr>
          <w:p w:rsidR="00000000" w:rsidDel="00000000" w:rsidP="00000000" w:rsidRDefault="00000000" w:rsidRPr="00000000" w14:paraId="0000002F">
            <w:pPr>
              <w:spacing w:after="160" w:lineRule="auto"/>
              <w:jc w:val="center"/>
              <w:rPr>
                <w:b w:val="1"/>
                <w:sz w:val="16"/>
                <w:szCs w:val="16"/>
              </w:rPr>
            </w:pPr>
            <w:r w:rsidDel="00000000" w:rsidR="00000000" w:rsidRPr="00000000">
              <w:rPr>
                <w:b w:val="1"/>
                <w:sz w:val="16"/>
                <w:szCs w:val="16"/>
                <w:rtl w:val="0"/>
              </w:rPr>
              <w:t xml:space="preserve">Diciembre</w:t>
            </w:r>
          </w:p>
        </w:tc>
      </w:tr>
      <w:tr>
        <w:trPr>
          <w:cantSplit w:val="0"/>
          <w:trHeight w:val="1725" w:hRule="atLeast"/>
          <w:tblHeader w:val="0"/>
        </w:trPr>
        <w:tc>
          <w:tcPr>
            <w:vAlign w:val="center"/>
          </w:tcPr>
          <w:p w:rsidR="00000000" w:rsidDel="00000000" w:rsidP="00000000" w:rsidRDefault="00000000" w:rsidRPr="00000000" w14:paraId="00000030">
            <w:pP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Administrar y supervisar los mecanismos mediante los cuales se publica la información fundamental</w:t>
            </w:r>
          </w:p>
        </w:tc>
        <w:tc>
          <w:tcPr>
            <w:vAlign w:val="center"/>
          </w:tcPr>
          <w:p w:rsidR="00000000" w:rsidDel="00000000" w:rsidP="00000000" w:rsidRDefault="00000000" w:rsidRPr="00000000" w14:paraId="00000031">
            <w:pPr>
              <w:jc w:val="both"/>
              <w:rPr>
                <w:rFonts w:ascii="Arial" w:cs="Arial" w:eastAsia="Arial" w:hAnsi="Arial"/>
                <w:color w:val="000000"/>
              </w:rPr>
            </w:pPr>
            <w:r w:rsidDel="00000000" w:rsidR="00000000" w:rsidRPr="00000000">
              <w:rPr>
                <w:rFonts w:ascii="Arial" w:cs="Arial" w:eastAsia="Arial" w:hAnsi="Arial"/>
                <w:color w:val="000000"/>
                <w:rtl w:val="0"/>
              </w:rPr>
              <w:t xml:space="preserve">Verificar que se difunda en el portal oficial del Municipio, la información pública fundamental de conformidad a los lineamientos del instituto</w:t>
            </w:r>
          </w:p>
        </w:tc>
        <w:tc>
          <w:tcPr>
            <w:vAlign w:val="center"/>
          </w:tcPr>
          <w:p w:rsidR="00000000" w:rsidDel="00000000" w:rsidP="00000000" w:rsidRDefault="00000000" w:rsidRPr="00000000" w14:paraId="00000032">
            <w:pPr>
              <w:jc w:val="both"/>
              <w:rPr>
                <w:rFonts w:ascii="Arial" w:cs="Arial" w:eastAsia="Arial" w:hAnsi="Arial"/>
                <w:color w:val="000000"/>
              </w:rPr>
            </w:pPr>
            <w:r w:rsidDel="00000000" w:rsidR="00000000" w:rsidRPr="00000000">
              <w:rPr>
                <w:rFonts w:ascii="Arial" w:cs="Arial" w:eastAsia="Arial" w:hAnsi="Arial"/>
                <w:color w:val="000000"/>
                <w:rtl w:val="0"/>
              </w:rPr>
              <w:t xml:space="preserve">Actualización de la información pública fundamental, para que esta se encuentre a disposición de la ciudadanía.</w:t>
            </w:r>
          </w:p>
        </w:tc>
        <w:tc>
          <w:tcPr>
            <w:vAlign w:val="center"/>
          </w:tcPr>
          <w:p w:rsidR="00000000" w:rsidDel="00000000" w:rsidP="00000000" w:rsidRDefault="00000000" w:rsidRPr="00000000" w14:paraId="00000033">
            <w:pPr>
              <w:jc w:val="both"/>
              <w:rPr>
                <w:rFonts w:ascii="Arial" w:cs="Arial" w:eastAsia="Arial" w:hAnsi="Arial"/>
                <w:color w:val="000000"/>
              </w:rPr>
            </w:pPr>
            <w:r w:rsidDel="00000000" w:rsidR="00000000" w:rsidRPr="00000000">
              <w:rPr>
                <w:rFonts w:ascii="Arial" w:cs="Arial" w:eastAsia="Arial" w:hAnsi="Arial"/>
                <w:color w:val="000000"/>
                <w:rtl w:val="0"/>
              </w:rPr>
              <w:t xml:space="preserve">Evaluaciones CIMTRA e ITEI</w:t>
            </w:r>
          </w:p>
        </w:tc>
        <w:tc>
          <w:tcPr>
            <w:shd w:fill="d0cece" w:val="clear"/>
            <w:vAlign w:val="center"/>
          </w:tcPr>
          <w:p w:rsidR="00000000" w:rsidDel="00000000" w:rsidP="00000000" w:rsidRDefault="00000000" w:rsidRPr="00000000" w14:paraId="00000034">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35">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36">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37">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38">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39">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3A">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3B">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3C">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3D">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3E">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3F">
            <w:pPr>
              <w:jc w:val="both"/>
              <w:rPr>
                <w:sz w:val="24"/>
                <w:szCs w:val="24"/>
              </w:rPr>
            </w:pPr>
            <w:r w:rsidDel="00000000" w:rsidR="00000000" w:rsidRPr="00000000">
              <w:rPr>
                <w:rtl w:val="0"/>
              </w:rPr>
            </w:r>
          </w:p>
        </w:tc>
      </w:tr>
      <w:tr>
        <w:trPr>
          <w:cantSplit w:val="0"/>
          <w:trHeight w:val="1725" w:hRule="atLeast"/>
          <w:tblHeader w:val="0"/>
        </w:trPr>
        <w:tc>
          <w:tcPr>
            <w:vAlign w:val="center"/>
          </w:tcPr>
          <w:p w:rsidR="00000000" w:rsidDel="00000000" w:rsidP="00000000" w:rsidRDefault="00000000" w:rsidRPr="00000000" w14:paraId="00000040">
            <w:pPr>
              <w:widowControl w:val="0"/>
              <w:spacing w:after="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Auxiliar, en su carácter de Secretario Técnico, al Comité de Clasificación en el desarrollo de sus funciones.</w:t>
            </w:r>
          </w:p>
          <w:p w:rsidR="00000000" w:rsidDel="00000000" w:rsidP="00000000" w:rsidRDefault="00000000" w:rsidRPr="00000000" w14:paraId="00000041">
            <w:pPr>
              <w:spacing w:line="240" w:lineRule="auto"/>
              <w:jc w:val="both"/>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42">
            <w:pPr>
              <w:jc w:val="both"/>
              <w:rPr>
                <w:rFonts w:ascii="Arial" w:cs="Arial" w:eastAsia="Arial" w:hAnsi="Arial"/>
                <w:color w:val="000000"/>
              </w:rPr>
            </w:pPr>
            <w:r w:rsidDel="00000000" w:rsidR="00000000" w:rsidRPr="00000000">
              <w:rPr>
                <w:rFonts w:ascii="Arial" w:cs="Arial" w:eastAsia="Arial" w:hAnsi="Arial"/>
                <w:color w:val="000000"/>
                <w:rtl w:val="0"/>
              </w:rPr>
              <w:t xml:space="preserve">Realizar sesiones del Comité de Transparencia para la clasificación de la Información</w:t>
            </w:r>
          </w:p>
        </w:tc>
        <w:tc>
          <w:tcPr>
            <w:vAlign w:val="center"/>
          </w:tcPr>
          <w:p w:rsidR="00000000" w:rsidDel="00000000" w:rsidP="00000000" w:rsidRDefault="00000000" w:rsidRPr="00000000" w14:paraId="00000043">
            <w:pPr>
              <w:jc w:val="both"/>
              <w:rPr>
                <w:rFonts w:ascii="Arial" w:cs="Arial" w:eastAsia="Arial" w:hAnsi="Arial"/>
                <w:color w:val="000000"/>
              </w:rPr>
            </w:pPr>
            <w:r w:rsidDel="00000000" w:rsidR="00000000" w:rsidRPr="00000000">
              <w:rPr>
                <w:rFonts w:ascii="Arial" w:cs="Arial" w:eastAsia="Arial" w:hAnsi="Arial"/>
                <w:color w:val="000000"/>
                <w:rtl w:val="0"/>
              </w:rPr>
              <w:t xml:space="preserve">Sesionar de manera ordinaria al menos una vez cada cuatro meses</w:t>
            </w:r>
          </w:p>
        </w:tc>
        <w:tc>
          <w:tcPr>
            <w:vAlign w:val="center"/>
          </w:tcPr>
          <w:p w:rsidR="00000000" w:rsidDel="00000000" w:rsidP="00000000" w:rsidRDefault="00000000" w:rsidRPr="00000000" w14:paraId="00000044">
            <w:pPr>
              <w:jc w:val="both"/>
              <w:rPr>
                <w:rFonts w:ascii="Arial" w:cs="Arial" w:eastAsia="Arial" w:hAnsi="Arial"/>
                <w:color w:val="000000"/>
              </w:rPr>
            </w:pPr>
            <w:r w:rsidDel="00000000" w:rsidR="00000000" w:rsidRPr="00000000">
              <w:rPr>
                <w:rFonts w:ascii="Arial" w:cs="Arial" w:eastAsia="Arial" w:hAnsi="Arial"/>
                <w:color w:val="000000"/>
                <w:rtl w:val="0"/>
              </w:rPr>
              <w:t xml:space="preserve">Sesiones del Comité de Transparencia</w:t>
            </w:r>
          </w:p>
        </w:tc>
        <w:tc>
          <w:tcPr>
            <w:shd w:fill="d0cece" w:val="clear"/>
            <w:vAlign w:val="center"/>
          </w:tcPr>
          <w:p w:rsidR="00000000" w:rsidDel="00000000" w:rsidP="00000000" w:rsidRDefault="00000000" w:rsidRPr="00000000" w14:paraId="00000045">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46">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47">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48">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49">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4A">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4B">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4C">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4D">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4E">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4F">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50">
            <w:pPr>
              <w:jc w:val="both"/>
              <w:rPr>
                <w:sz w:val="24"/>
                <w:szCs w:val="24"/>
              </w:rPr>
            </w:pPr>
            <w:r w:rsidDel="00000000" w:rsidR="00000000" w:rsidRPr="00000000">
              <w:rPr>
                <w:rtl w:val="0"/>
              </w:rPr>
            </w:r>
          </w:p>
        </w:tc>
      </w:tr>
      <w:tr>
        <w:trPr>
          <w:cantSplit w:val="0"/>
          <w:trHeight w:val="1725" w:hRule="atLeast"/>
          <w:tblHeader w:val="0"/>
        </w:trPr>
        <w:tc>
          <w:tcPr>
            <w:vAlign w:val="center"/>
          </w:tcPr>
          <w:p w:rsidR="00000000" w:rsidDel="00000000" w:rsidP="00000000" w:rsidRDefault="00000000" w:rsidRPr="00000000" w14:paraId="00000051">
            <w:pP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Atender y orientación a la ciudadanía en temas de Transparencia.</w:t>
            </w:r>
          </w:p>
          <w:p w:rsidR="00000000" w:rsidDel="00000000" w:rsidP="00000000" w:rsidRDefault="00000000" w:rsidRPr="00000000" w14:paraId="00000052">
            <w:pPr>
              <w:spacing w:after="160" w:lineRule="auto"/>
              <w:jc w:val="both"/>
              <w:rPr>
                <w:sz w:val="24"/>
                <w:szCs w:val="24"/>
              </w:rPr>
            </w:pPr>
            <w:r w:rsidDel="00000000" w:rsidR="00000000" w:rsidRPr="00000000">
              <w:rPr>
                <w:rtl w:val="0"/>
              </w:rPr>
            </w:r>
          </w:p>
        </w:tc>
        <w:tc>
          <w:tcPr>
            <w:vAlign w:val="center"/>
          </w:tcPr>
          <w:p w:rsidR="00000000" w:rsidDel="00000000" w:rsidP="00000000" w:rsidRDefault="00000000" w:rsidRPr="00000000" w14:paraId="00000053">
            <w:pPr>
              <w:spacing w:after="160" w:lineRule="auto"/>
              <w:jc w:val="both"/>
              <w:rPr>
                <w:sz w:val="24"/>
                <w:szCs w:val="24"/>
              </w:rPr>
            </w:pPr>
            <w:r w:rsidDel="00000000" w:rsidR="00000000" w:rsidRPr="00000000">
              <w:rPr>
                <w:rFonts w:ascii="Arial" w:cs="Arial" w:eastAsia="Arial" w:hAnsi="Arial"/>
                <w:color w:val="000000"/>
                <w:rtl w:val="0"/>
              </w:rPr>
              <w:t xml:space="preserve">Proporcionar un trato respetuoso y digno, </w:t>
            </w:r>
            <w:r w:rsidDel="00000000" w:rsidR="00000000" w:rsidRPr="00000000">
              <w:rPr>
                <w:rFonts w:ascii="Arial" w:cs="Arial" w:eastAsia="Arial" w:hAnsi="Arial"/>
                <w:color w:val="000000"/>
                <w:highlight w:val="white"/>
                <w:rtl w:val="0"/>
              </w:rPr>
              <w:t xml:space="preserve">en asuntos de transparencia, trámite y gestión a las solicitudes.</w:t>
            </w:r>
            <w:r w:rsidDel="00000000" w:rsidR="00000000" w:rsidRPr="00000000">
              <w:rPr>
                <w:rtl w:val="0"/>
              </w:rPr>
            </w:r>
          </w:p>
        </w:tc>
        <w:tc>
          <w:tcPr>
            <w:vAlign w:val="center"/>
          </w:tcPr>
          <w:p w:rsidR="00000000" w:rsidDel="00000000" w:rsidP="00000000" w:rsidRDefault="00000000" w:rsidRPr="00000000" w14:paraId="00000054">
            <w:pPr>
              <w:spacing w:after="160" w:lineRule="auto"/>
              <w:jc w:val="both"/>
              <w:rPr>
                <w:sz w:val="24"/>
                <w:szCs w:val="24"/>
              </w:rPr>
            </w:pPr>
            <w:r w:rsidDel="00000000" w:rsidR="00000000" w:rsidRPr="00000000">
              <w:rPr>
                <w:rFonts w:ascii="Arial" w:cs="Arial" w:eastAsia="Arial" w:hAnsi="Arial"/>
                <w:color w:val="000000"/>
                <w:rtl w:val="0"/>
              </w:rPr>
              <w:t xml:space="preserve">Que los ciudadanos tengan la certeza del trabajo que se realiza arduamente en esta Unidad, con la finalidad de garantizar el derecho humano de acceso a la información y protección de sus datos personales.</w:t>
            </w:r>
            <w:r w:rsidDel="00000000" w:rsidR="00000000" w:rsidRPr="00000000">
              <w:rPr>
                <w:rtl w:val="0"/>
              </w:rPr>
            </w:r>
          </w:p>
        </w:tc>
        <w:tc>
          <w:tcPr>
            <w:vAlign w:val="center"/>
          </w:tcPr>
          <w:p w:rsidR="00000000" w:rsidDel="00000000" w:rsidP="00000000" w:rsidRDefault="00000000" w:rsidRPr="00000000" w14:paraId="00000055">
            <w:pPr>
              <w:spacing w:after="160" w:lineRule="auto"/>
              <w:jc w:val="both"/>
              <w:rPr>
                <w:sz w:val="24"/>
                <w:szCs w:val="24"/>
              </w:rPr>
            </w:pPr>
            <w:r w:rsidDel="00000000" w:rsidR="00000000" w:rsidRPr="00000000">
              <w:rPr>
                <w:rFonts w:ascii="Arial" w:cs="Arial" w:eastAsia="Arial" w:hAnsi="Arial"/>
                <w:color w:val="000000"/>
                <w:rtl w:val="0"/>
              </w:rPr>
              <w:t xml:space="preserve">Número de personas atendidas</w:t>
            </w:r>
            <w:r w:rsidDel="00000000" w:rsidR="00000000" w:rsidRPr="00000000">
              <w:rPr>
                <w:rtl w:val="0"/>
              </w:rPr>
            </w:r>
          </w:p>
        </w:tc>
        <w:tc>
          <w:tcPr>
            <w:shd w:fill="d0cece" w:val="clear"/>
            <w:vAlign w:val="center"/>
          </w:tcPr>
          <w:p w:rsidR="00000000" w:rsidDel="00000000" w:rsidP="00000000" w:rsidRDefault="00000000" w:rsidRPr="00000000" w14:paraId="00000056">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57">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58">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59">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5A">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5B">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5C">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5D">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5E">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5F">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60">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61">
            <w:pPr>
              <w:spacing w:after="160" w:lineRule="auto"/>
              <w:jc w:val="both"/>
              <w:rPr>
                <w:sz w:val="24"/>
                <w:szCs w:val="24"/>
              </w:rPr>
            </w:pPr>
            <w:r w:rsidDel="00000000" w:rsidR="00000000" w:rsidRPr="00000000">
              <w:rPr>
                <w:rtl w:val="0"/>
              </w:rPr>
            </w:r>
          </w:p>
        </w:tc>
      </w:tr>
      <w:tr>
        <w:trPr>
          <w:cantSplit w:val="0"/>
          <w:trHeight w:val="2027" w:hRule="atLeast"/>
          <w:tblHeader w:val="0"/>
        </w:trPr>
        <w:tc>
          <w:tcPr>
            <w:vAlign w:val="center"/>
          </w:tcPr>
          <w:p w:rsidR="00000000" w:rsidDel="00000000" w:rsidP="00000000" w:rsidRDefault="00000000" w:rsidRPr="00000000" w14:paraId="00000062">
            <w:pPr>
              <w:widowControl w:val="0"/>
              <w:spacing w:after="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Recibir, admitir y resolver las solicitudes de Derecho ARCO y remitir la resolución correspondiente al Instituto de Transparencia e Información Pública de Jalisco</w:t>
            </w:r>
          </w:p>
          <w:p w:rsidR="00000000" w:rsidDel="00000000" w:rsidP="00000000" w:rsidRDefault="00000000" w:rsidRPr="00000000" w14:paraId="00000063">
            <w:pPr>
              <w:jc w:val="both"/>
              <w:rPr>
                <w:rFonts w:ascii="Arial" w:cs="Arial" w:eastAsia="Arial" w:hAnsi="Arial"/>
                <w:color w:val="000000"/>
                <w:highlight w:val="white"/>
              </w:rPr>
            </w:pPr>
            <w:r w:rsidDel="00000000" w:rsidR="00000000" w:rsidRPr="00000000">
              <w:rPr>
                <w:rtl w:val="0"/>
              </w:rPr>
            </w:r>
          </w:p>
        </w:tc>
        <w:tc>
          <w:tcPr>
            <w:vAlign w:val="center"/>
          </w:tcPr>
          <w:p w:rsidR="00000000" w:rsidDel="00000000" w:rsidP="00000000" w:rsidRDefault="00000000" w:rsidRPr="00000000" w14:paraId="00000064">
            <w:pPr>
              <w:jc w:val="both"/>
              <w:rPr>
                <w:rFonts w:ascii="Arial" w:cs="Arial" w:eastAsia="Arial" w:hAnsi="Arial"/>
                <w:color w:val="000000"/>
              </w:rPr>
            </w:pPr>
            <w:r w:rsidDel="00000000" w:rsidR="00000000" w:rsidRPr="00000000">
              <w:rPr>
                <w:rFonts w:ascii="Arial" w:cs="Arial" w:eastAsia="Arial" w:hAnsi="Arial"/>
                <w:color w:val="000000"/>
                <w:rtl w:val="0"/>
              </w:rPr>
              <w:t xml:space="preserve">Garantizar el acceso a la información pública y protección a los datos personales, con el fin de que los ciudadanos ejerzan su derecho de protección de datos personales.</w:t>
            </w:r>
          </w:p>
        </w:tc>
        <w:tc>
          <w:tcPr>
            <w:vAlign w:val="center"/>
          </w:tcPr>
          <w:p w:rsidR="00000000" w:rsidDel="00000000" w:rsidP="00000000" w:rsidRDefault="00000000" w:rsidRPr="00000000" w14:paraId="00000065">
            <w:pPr>
              <w:jc w:val="both"/>
              <w:rPr>
                <w:rFonts w:ascii="Arial" w:cs="Arial" w:eastAsia="Arial" w:hAnsi="Arial"/>
                <w:color w:val="000000"/>
              </w:rPr>
            </w:pPr>
            <w:r w:rsidDel="00000000" w:rsidR="00000000" w:rsidRPr="00000000">
              <w:rPr>
                <w:rFonts w:ascii="Arial" w:cs="Arial" w:eastAsia="Arial" w:hAnsi="Arial"/>
                <w:color w:val="000000"/>
                <w:rtl w:val="0"/>
              </w:rPr>
              <w:t xml:space="preserve">Otorgar el debido seguimiento a todas las solicitudes de derecho ARCO presentadas ante este Sujeto Obligado.</w:t>
            </w:r>
          </w:p>
        </w:tc>
        <w:tc>
          <w:tcPr>
            <w:vAlign w:val="center"/>
          </w:tcPr>
          <w:p w:rsidR="00000000" w:rsidDel="00000000" w:rsidP="00000000" w:rsidRDefault="00000000" w:rsidRPr="00000000" w14:paraId="00000066">
            <w:pPr>
              <w:jc w:val="both"/>
              <w:rPr>
                <w:rFonts w:ascii="Arial" w:cs="Arial" w:eastAsia="Arial" w:hAnsi="Arial"/>
                <w:color w:val="000000"/>
              </w:rPr>
            </w:pPr>
            <w:r w:rsidDel="00000000" w:rsidR="00000000" w:rsidRPr="00000000">
              <w:rPr>
                <w:rFonts w:ascii="Arial" w:cs="Arial" w:eastAsia="Arial" w:hAnsi="Arial"/>
                <w:color w:val="000000"/>
                <w:rtl w:val="0"/>
              </w:rPr>
              <w:t xml:space="preserve">Número de solicitudes  de derecho ARCO recibidas y atendidas</w:t>
            </w:r>
          </w:p>
        </w:tc>
        <w:tc>
          <w:tcPr>
            <w:shd w:fill="d0cece" w:val="clear"/>
            <w:vAlign w:val="center"/>
          </w:tcPr>
          <w:p w:rsidR="00000000" w:rsidDel="00000000" w:rsidP="00000000" w:rsidRDefault="00000000" w:rsidRPr="00000000" w14:paraId="00000067">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68">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69">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6A">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6B">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6C">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6D">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6E">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6F">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70">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71">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72">
            <w:pPr>
              <w:jc w:val="both"/>
              <w:rPr>
                <w:sz w:val="24"/>
                <w:szCs w:val="24"/>
              </w:rPr>
            </w:pPr>
            <w:r w:rsidDel="00000000" w:rsidR="00000000" w:rsidRPr="00000000">
              <w:rPr>
                <w:rtl w:val="0"/>
              </w:rPr>
            </w:r>
          </w:p>
        </w:tc>
      </w:tr>
      <w:tr>
        <w:trPr>
          <w:cantSplit w:val="0"/>
          <w:trHeight w:val="2027" w:hRule="atLeast"/>
          <w:tblHeader w:val="0"/>
        </w:trPr>
        <w:tc>
          <w:tcPr>
            <w:vAlign w:val="center"/>
          </w:tcPr>
          <w:p w:rsidR="00000000" w:rsidDel="00000000" w:rsidP="00000000" w:rsidRDefault="00000000" w:rsidRPr="00000000" w14:paraId="00000073">
            <w:pPr>
              <w:widowControl w:val="0"/>
              <w:spacing w:after="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Recibir, admitir, gestionar y resolver las solicitudes de acceso a la información pública que sean de su competencia;</w:t>
            </w:r>
          </w:p>
          <w:p w:rsidR="00000000" w:rsidDel="00000000" w:rsidP="00000000" w:rsidRDefault="00000000" w:rsidRPr="00000000" w14:paraId="00000074">
            <w:pPr>
              <w:spacing w:after="160" w:lineRule="auto"/>
              <w:jc w:val="both"/>
              <w:rPr>
                <w:sz w:val="24"/>
                <w:szCs w:val="24"/>
              </w:rPr>
            </w:pPr>
            <w:r w:rsidDel="00000000" w:rsidR="00000000" w:rsidRPr="00000000">
              <w:rPr>
                <w:rtl w:val="0"/>
              </w:rPr>
            </w:r>
          </w:p>
        </w:tc>
        <w:tc>
          <w:tcPr>
            <w:vAlign w:val="center"/>
          </w:tcPr>
          <w:p w:rsidR="00000000" w:rsidDel="00000000" w:rsidP="00000000" w:rsidRDefault="00000000" w:rsidRPr="00000000" w14:paraId="00000075">
            <w:pPr>
              <w:shd w:fill="ffffff" w:val="clear"/>
              <w:spacing w:after="28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Garantizar el acceso a la información pública y protección a los datos personales, con el fin de que los ciudadanos ejerzan su derecho de acceso a la información.</w:t>
            </w:r>
          </w:p>
          <w:p w:rsidR="00000000" w:rsidDel="00000000" w:rsidP="00000000" w:rsidRDefault="00000000" w:rsidRPr="00000000" w14:paraId="00000076">
            <w:pPr>
              <w:spacing w:after="160" w:lineRule="auto"/>
              <w:jc w:val="both"/>
              <w:rPr>
                <w:sz w:val="24"/>
                <w:szCs w:val="24"/>
              </w:rPr>
            </w:pPr>
            <w:r w:rsidDel="00000000" w:rsidR="00000000" w:rsidRPr="00000000">
              <w:rPr>
                <w:rtl w:val="0"/>
              </w:rPr>
            </w:r>
          </w:p>
        </w:tc>
        <w:tc>
          <w:tcPr>
            <w:vAlign w:val="center"/>
          </w:tcPr>
          <w:p w:rsidR="00000000" w:rsidDel="00000000" w:rsidP="00000000" w:rsidRDefault="00000000" w:rsidRPr="00000000" w14:paraId="00000077">
            <w:pPr>
              <w:spacing w:after="160" w:lineRule="auto"/>
              <w:jc w:val="both"/>
              <w:rPr>
                <w:sz w:val="24"/>
                <w:szCs w:val="24"/>
              </w:rPr>
            </w:pPr>
            <w:r w:rsidDel="00000000" w:rsidR="00000000" w:rsidRPr="00000000">
              <w:rPr>
                <w:rFonts w:ascii="Arial" w:cs="Arial" w:eastAsia="Arial" w:hAnsi="Arial"/>
                <w:color w:val="000000"/>
                <w:rtl w:val="0"/>
              </w:rPr>
              <w:t xml:space="preserve">Otorgar el debido seguimiento a todas las solicitudes de derecho de acceso a la información  presentadas ante este Sujeto Obligado.</w:t>
            </w:r>
            <w:r w:rsidDel="00000000" w:rsidR="00000000" w:rsidRPr="00000000">
              <w:rPr>
                <w:rtl w:val="0"/>
              </w:rPr>
            </w:r>
          </w:p>
        </w:tc>
        <w:tc>
          <w:tcPr>
            <w:vAlign w:val="center"/>
          </w:tcPr>
          <w:p w:rsidR="00000000" w:rsidDel="00000000" w:rsidP="00000000" w:rsidRDefault="00000000" w:rsidRPr="00000000" w14:paraId="00000078">
            <w:pPr>
              <w:spacing w:after="160" w:lineRule="auto"/>
              <w:jc w:val="both"/>
              <w:rPr>
                <w:sz w:val="24"/>
                <w:szCs w:val="24"/>
              </w:rPr>
            </w:pPr>
            <w:r w:rsidDel="00000000" w:rsidR="00000000" w:rsidRPr="00000000">
              <w:rPr>
                <w:rFonts w:ascii="Arial" w:cs="Arial" w:eastAsia="Arial" w:hAnsi="Arial"/>
                <w:color w:val="000000"/>
                <w:rtl w:val="0"/>
              </w:rPr>
              <w:t xml:space="preserve">Número de solicitudes  de derecho de acceso recibidas y atendidas</w:t>
            </w:r>
            <w:r w:rsidDel="00000000" w:rsidR="00000000" w:rsidRPr="00000000">
              <w:rPr>
                <w:rtl w:val="0"/>
              </w:rPr>
            </w:r>
          </w:p>
        </w:tc>
        <w:tc>
          <w:tcPr>
            <w:shd w:fill="d0cece" w:val="clear"/>
            <w:vAlign w:val="center"/>
          </w:tcPr>
          <w:p w:rsidR="00000000" w:rsidDel="00000000" w:rsidP="00000000" w:rsidRDefault="00000000" w:rsidRPr="00000000" w14:paraId="00000079">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7A">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7B">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7C">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7D">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7E">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7F">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80">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81">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82">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83">
            <w:pPr>
              <w:spacing w:after="160" w:lineRule="auto"/>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84">
            <w:pPr>
              <w:spacing w:after="160" w:lineRule="auto"/>
              <w:jc w:val="both"/>
              <w:rPr>
                <w:sz w:val="24"/>
                <w:szCs w:val="24"/>
              </w:rPr>
            </w:pPr>
            <w:r w:rsidDel="00000000" w:rsidR="00000000" w:rsidRPr="00000000">
              <w:rPr>
                <w:rtl w:val="0"/>
              </w:rPr>
            </w:r>
          </w:p>
        </w:tc>
      </w:tr>
      <w:tr>
        <w:trPr>
          <w:cantSplit w:val="0"/>
          <w:trHeight w:val="2027" w:hRule="atLeast"/>
          <w:tblHeader w:val="0"/>
        </w:trPr>
        <w:tc>
          <w:tcPr/>
          <w:p w:rsidR="00000000" w:rsidDel="00000000" w:rsidP="00000000" w:rsidRDefault="00000000" w:rsidRPr="00000000" w14:paraId="00000085">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7">
            <w:pP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Atención y seguimiento a los Recursos de Revisión,  Transparencia Y Datos Personales</w:t>
            </w:r>
          </w:p>
          <w:p w:rsidR="00000000" w:rsidDel="00000000" w:rsidP="00000000" w:rsidRDefault="00000000" w:rsidRPr="00000000" w14:paraId="00000088">
            <w:pPr>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89">
            <w:pP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Otorgar la oportunidad a los solicitantes de obtener la revocación o modificación de un acto o resolución emitida por este sujeto obligado.</w:t>
            </w:r>
          </w:p>
        </w:tc>
        <w:tc>
          <w:tcPr/>
          <w:p w:rsidR="00000000" w:rsidDel="00000000" w:rsidP="00000000" w:rsidRDefault="00000000" w:rsidRPr="00000000" w14:paraId="0000008A">
            <w:pPr>
              <w:jc w:val="both"/>
              <w:rPr>
                <w:rFonts w:ascii="Arial" w:cs="Arial" w:eastAsia="Arial" w:hAnsi="Arial"/>
                <w:color w:val="000000"/>
              </w:rPr>
            </w:pPr>
            <w:r w:rsidDel="00000000" w:rsidR="00000000" w:rsidRPr="00000000">
              <w:rPr>
                <w:rFonts w:ascii="Arial" w:cs="Arial" w:eastAsia="Arial" w:hAnsi="Arial"/>
                <w:color w:val="000000"/>
                <w:highlight w:val="white"/>
                <w:rtl w:val="0"/>
              </w:rPr>
              <w:t xml:space="preserve">Garantizar que, en los actos y resoluciones, se respeten los principios de transparencia, acceso a la información y la protección de los datos personales.</w:t>
            </w:r>
            <w:r w:rsidDel="00000000" w:rsidR="00000000" w:rsidRPr="00000000">
              <w:rPr>
                <w:rtl w:val="0"/>
              </w:rPr>
            </w:r>
          </w:p>
        </w:tc>
        <w:tc>
          <w:tcPr>
            <w:vAlign w:val="center"/>
          </w:tcPr>
          <w:p w:rsidR="00000000" w:rsidDel="00000000" w:rsidP="00000000" w:rsidRDefault="00000000" w:rsidRPr="00000000" w14:paraId="0000008B">
            <w:pPr>
              <w:jc w:val="both"/>
              <w:rPr>
                <w:rFonts w:ascii="Arial" w:cs="Arial" w:eastAsia="Arial" w:hAnsi="Arial"/>
                <w:color w:val="000000"/>
              </w:rPr>
            </w:pPr>
            <w:r w:rsidDel="00000000" w:rsidR="00000000" w:rsidRPr="00000000">
              <w:rPr>
                <w:rFonts w:ascii="Arial" w:cs="Arial" w:eastAsia="Arial" w:hAnsi="Arial"/>
                <w:color w:val="000000"/>
                <w:rtl w:val="0"/>
              </w:rPr>
              <w:t xml:space="preserve">Número de Recursos de Revisión o Recursos de Transparencia atendidos.</w:t>
            </w:r>
          </w:p>
        </w:tc>
        <w:tc>
          <w:tcPr>
            <w:shd w:fill="d0cece" w:val="clear"/>
            <w:vAlign w:val="center"/>
          </w:tcPr>
          <w:p w:rsidR="00000000" w:rsidDel="00000000" w:rsidP="00000000" w:rsidRDefault="00000000" w:rsidRPr="00000000" w14:paraId="0000008C">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8D">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8E">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8F">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90">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91">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92">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93">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94">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95">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96">
            <w:pPr>
              <w:jc w:val="both"/>
              <w:rPr>
                <w:sz w:val="24"/>
                <w:szCs w:val="24"/>
              </w:rPr>
            </w:pPr>
            <w:r w:rsidDel="00000000" w:rsidR="00000000" w:rsidRPr="00000000">
              <w:rPr>
                <w:rtl w:val="0"/>
              </w:rPr>
            </w:r>
          </w:p>
        </w:tc>
        <w:tc>
          <w:tcPr>
            <w:shd w:fill="d0cece" w:val="clear"/>
            <w:vAlign w:val="center"/>
          </w:tcPr>
          <w:p w:rsidR="00000000" w:rsidDel="00000000" w:rsidP="00000000" w:rsidRDefault="00000000" w:rsidRPr="00000000" w14:paraId="00000097">
            <w:pPr>
              <w:jc w:val="both"/>
              <w:rPr>
                <w:sz w:val="24"/>
                <w:szCs w:val="24"/>
              </w:rPr>
            </w:pPr>
            <w:r w:rsidDel="00000000" w:rsidR="00000000" w:rsidRPr="00000000">
              <w:rPr>
                <w:rtl w:val="0"/>
              </w:rPr>
            </w:r>
          </w:p>
        </w:tc>
      </w:tr>
    </w:tbl>
    <w:p w:rsidR="00000000" w:rsidDel="00000000" w:rsidP="00000000" w:rsidRDefault="00000000" w:rsidRPr="00000000" w14:paraId="00000098">
      <w:pPr>
        <w:jc w:val="both"/>
        <w:rPr>
          <w:sz w:val="24"/>
          <w:szCs w:val="24"/>
        </w:rPr>
      </w:pPr>
      <w:r w:rsidDel="00000000" w:rsidR="00000000" w:rsidRPr="00000000">
        <w:rPr>
          <w:rtl w:val="0"/>
        </w:rPr>
      </w:r>
    </w:p>
    <w:p w:rsidR="00000000" w:rsidDel="00000000" w:rsidP="00000000" w:rsidRDefault="00000000" w:rsidRPr="00000000" w14:paraId="00000099">
      <w:pPr>
        <w:jc w:val="both"/>
        <w:rPr>
          <w:sz w:val="24"/>
          <w:szCs w:val="24"/>
        </w:rPr>
      </w:pPr>
      <w:r w:rsidDel="00000000" w:rsidR="00000000" w:rsidRPr="00000000">
        <w:rPr>
          <w:rtl w:val="0"/>
        </w:rPr>
      </w:r>
    </w:p>
    <w:p w:rsidR="00000000" w:rsidDel="00000000" w:rsidP="00000000" w:rsidRDefault="00000000" w:rsidRPr="00000000" w14:paraId="0000009A">
      <w:pPr>
        <w:jc w:val="both"/>
        <w:rPr>
          <w:sz w:val="24"/>
          <w:szCs w:val="24"/>
        </w:rPr>
      </w:pPr>
      <w:r w:rsidDel="00000000" w:rsidR="00000000" w:rsidRPr="00000000">
        <w:rPr>
          <w:rtl w:val="0"/>
        </w:rPr>
      </w:r>
    </w:p>
    <w:p w:rsidR="00000000" w:rsidDel="00000000" w:rsidP="00000000" w:rsidRDefault="00000000" w:rsidRPr="00000000" w14:paraId="0000009B">
      <w:pPr>
        <w:jc w:val="both"/>
        <w:rPr>
          <w:sz w:val="24"/>
          <w:szCs w:val="24"/>
        </w:rPr>
      </w:pPr>
      <w:r w:rsidDel="00000000" w:rsidR="00000000" w:rsidRPr="00000000">
        <w:rPr>
          <w:rtl w:val="0"/>
        </w:rPr>
      </w:r>
    </w:p>
    <w:p w:rsidR="00000000" w:rsidDel="00000000" w:rsidP="00000000" w:rsidRDefault="00000000" w:rsidRPr="00000000" w14:paraId="0000009C">
      <w:pPr>
        <w:jc w:val="both"/>
        <w:rPr>
          <w:b w:val="1"/>
          <w:sz w:val="24"/>
          <w:szCs w:val="24"/>
        </w:rPr>
      </w:pPr>
      <w:r w:rsidDel="00000000" w:rsidR="00000000" w:rsidRPr="00000000">
        <w:rPr>
          <w:b w:val="1"/>
          <w:sz w:val="24"/>
          <w:szCs w:val="24"/>
          <w:rtl w:val="0"/>
        </w:rPr>
        <w:t xml:space="preserve">NOTA: Las actividades se realizarán de conformidad a las necesidades de la Dirección </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sectPr>
      <w:headerReference r:id="rId7" w:type="default"/>
      <w:footerReference r:id="rId8" w:type="default"/>
      <w:pgSz w:h="12240" w:w="20160"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spacing w:after="0" w:lineRule="auto"/>
      <w:rPr>
        <w:b w:val="1"/>
        <w:color w:val="595959"/>
        <w:sz w:val="24"/>
        <w:szCs w:val="24"/>
      </w:rPr>
    </w:pPr>
    <w:r w:rsidDel="00000000" w:rsidR="00000000" w:rsidRPr="00000000">
      <w:rPr>
        <w:b w:val="1"/>
        <w:color w:val="595959"/>
        <w:sz w:val="24"/>
        <w:szCs w:val="24"/>
        <w:rtl w:val="0"/>
      </w:rPr>
      <w:t xml:space="preserve">COORDINACIÓN:</w:t>
    </w:r>
    <w:r w:rsidDel="00000000" w:rsidR="00000000" w:rsidRPr="00000000">
      <w:rPr>
        <w:rFonts w:ascii="Arial" w:cs="Arial" w:eastAsia="Arial" w:hAnsi="Arial"/>
        <w:sz w:val="24"/>
        <w:szCs w:val="24"/>
        <w:rtl w:val="0"/>
      </w:rPr>
      <w:t xml:space="preserve"> </w:t>
    </w:r>
    <w:r w:rsidDel="00000000" w:rsidR="00000000" w:rsidRPr="00000000">
      <w:rPr>
        <w:b w:val="1"/>
        <w:color w:val="595959"/>
        <w:sz w:val="24"/>
        <w:szCs w:val="24"/>
        <w:rtl w:val="0"/>
      </w:rPr>
      <w:t xml:space="preserve">Coordinador General de Transparencia, Archivo y Gobierno Abierto</w:t>
    </w:r>
  </w:p>
  <w:p w:rsidR="00000000" w:rsidDel="00000000" w:rsidP="00000000" w:rsidRDefault="00000000" w:rsidRPr="00000000" w14:paraId="000000A4">
    <w:pPr>
      <w:spacing w:after="0" w:lineRule="auto"/>
      <w:rPr>
        <w:b w:val="1"/>
        <w:color w:val="595959"/>
        <w:sz w:val="24"/>
        <w:szCs w:val="24"/>
      </w:rPr>
    </w:pPr>
    <w:r w:rsidDel="00000000" w:rsidR="00000000" w:rsidRPr="00000000">
      <w:rPr>
        <w:b w:val="1"/>
        <w:color w:val="595959"/>
        <w:sz w:val="24"/>
        <w:szCs w:val="24"/>
        <w:rtl w:val="0"/>
      </w:rPr>
      <w:t xml:space="preserve">DEPENDENCIA: Dirección de Transparencia y Buenas Prácticas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4765676</wp:posOffset>
          </wp:positionH>
          <wp:positionV relativeFrom="paragraph">
            <wp:posOffset>-112480</wp:posOffset>
          </wp:positionV>
          <wp:extent cx="1470658" cy="582055"/>
          <wp:effectExtent b="0" l="0" r="0" t="0"/>
          <wp:wrapNone/>
          <wp:docPr id="4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70658" cy="58205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spacing w:after="0" w:lineRule="auto"/>
      <w:jc w:val="center"/>
      <w:rPr>
        <w:rFonts w:ascii="Arial" w:cs="Arial" w:eastAsia="Arial" w:hAnsi="Arial"/>
        <w:b w:val="1"/>
        <w:color w:val="595959"/>
        <w:sz w:val="28"/>
        <w:szCs w:val="28"/>
      </w:rPr>
    </w:pPr>
    <w:r w:rsidDel="00000000" w:rsidR="00000000" w:rsidRPr="00000000">
      <w:rPr>
        <w:rFonts w:ascii="Arial" w:cs="Arial" w:eastAsia="Arial" w:hAnsi="Arial"/>
        <w:b w:val="1"/>
        <w:color w:val="595959"/>
        <w:sz w:val="28"/>
        <w:szCs w:val="28"/>
        <w:rtl w:val="0"/>
      </w:rPr>
      <w:t xml:space="preserve">EL SALTO</w:t>
    </w:r>
    <w:r w:rsidDel="00000000" w:rsidR="00000000" w:rsidRPr="00000000">
      <w:drawing>
        <wp:anchor allowOverlap="1" behindDoc="1" distB="0" distT="0" distL="0" distR="0" hidden="0" layoutInCell="1" locked="0" relativeHeight="0" simplePos="0">
          <wp:simplePos x="0" y="0"/>
          <wp:positionH relativeFrom="column">
            <wp:posOffset>-38099</wp:posOffset>
          </wp:positionH>
          <wp:positionV relativeFrom="paragraph">
            <wp:posOffset>-95884</wp:posOffset>
          </wp:positionV>
          <wp:extent cx="1555750" cy="596900"/>
          <wp:effectExtent b="0" l="0" r="0" t="0"/>
          <wp:wrapNone/>
          <wp:docPr id="4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5750" cy="596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9323705</wp:posOffset>
          </wp:positionH>
          <wp:positionV relativeFrom="paragraph">
            <wp:posOffset>-62229</wp:posOffset>
          </wp:positionV>
          <wp:extent cx="1540615" cy="683741"/>
          <wp:effectExtent b="0" l="0" r="0" t="0"/>
          <wp:wrapNone/>
          <wp:docPr descr="C:\Users\Lenovo\Downloads\WhatsAppImage2022-01-12at12.53.47PM.jpeg" id="42" name="image3.jpg"/>
          <a:graphic>
            <a:graphicData uri="http://schemas.openxmlformats.org/drawingml/2006/picture">
              <pic:pic>
                <pic:nvPicPr>
                  <pic:cNvPr descr="C:\Users\Lenovo\Downloads\WhatsAppImage2022-01-12at12.53.47PM.jpeg" id="0" name="image3.jpg"/>
                  <pic:cNvPicPr preferRelativeResize="0"/>
                </pic:nvPicPr>
                <pic:blipFill>
                  <a:blip r:embed="rId2"/>
                  <a:srcRect b="39351" l="11893" r="9713" t="15020"/>
                  <a:stretch>
                    <a:fillRect/>
                  </a:stretch>
                </pic:blipFill>
                <pic:spPr>
                  <a:xfrm>
                    <a:off x="0" y="0"/>
                    <a:ext cx="1540615" cy="683741"/>
                  </a:xfrm>
                  <a:prstGeom prst="rect"/>
                  <a:ln/>
                </pic:spPr>
              </pic:pic>
            </a:graphicData>
          </a:graphic>
        </wp:anchor>
      </w:drawing>
    </w:r>
  </w:p>
  <w:p w:rsidR="00000000" w:rsidDel="00000000" w:rsidP="00000000" w:rsidRDefault="00000000" w:rsidRPr="00000000" w14:paraId="000000A0">
    <w:pPr>
      <w:spacing w:after="0" w:lineRule="auto"/>
      <w:jc w:val="center"/>
      <w:rPr>
        <w:rFonts w:ascii="Arial" w:cs="Arial" w:eastAsia="Arial" w:hAnsi="Arial"/>
        <w:b w:val="1"/>
        <w:color w:val="595959"/>
        <w:sz w:val="28"/>
        <w:szCs w:val="28"/>
      </w:rPr>
    </w:pPr>
    <w:r w:rsidDel="00000000" w:rsidR="00000000" w:rsidRPr="00000000">
      <w:rPr>
        <w:rFonts w:ascii="Arial" w:cs="Arial" w:eastAsia="Arial" w:hAnsi="Arial"/>
        <w:b w:val="1"/>
        <w:color w:val="595959"/>
        <w:sz w:val="28"/>
        <w:szCs w:val="28"/>
        <w:rtl w:val="0"/>
      </w:rPr>
      <w:t xml:space="preserve">GOBIERNO MUNICIPAL</w:t>
    </w:r>
  </w:p>
  <w:p w:rsidR="00000000" w:rsidDel="00000000" w:rsidP="00000000" w:rsidRDefault="00000000" w:rsidRPr="00000000" w14:paraId="000000A1">
    <w:pPr>
      <w:spacing w:after="0" w:lineRule="auto"/>
      <w:jc w:val="center"/>
      <w:rPr>
        <w:rFonts w:ascii="Arial" w:cs="Arial" w:eastAsia="Arial" w:hAnsi="Arial"/>
        <w:b w:val="1"/>
        <w:color w:val="595959"/>
        <w:sz w:val="28"/>
        <w:szCs w:val="28"/>
      </w:rPr>
    </w:pPr>
    <w:r w:rsidDel="00000000" w:rsidR="00000000" w:rsidRPr="00000000">
      <w:rPr>
        <w:rFonts w:ascii="Arial" w:cs="Arial" w:eastAsia="Arial" w:hAnsi="Arial"/>
        <w:b w:val="1"/>
        <w:color w:val="595959"/>
        <w:sz w:val="28"/>
        <w:szCs w:val="28"/>
        <w:rtl w:val="0"/>
      </w:rPr>
      <w:t xml:space="preserve">PROGRAMA OPERATIVO ANUAL 2022</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090B"/>
    <w:pPr>
      <w:spacing w:line="256" w:lineRule="auto"/>
    </w:p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04090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4D7C4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D7C4F"/>
  </w:style>
  <w:style w:type="paragraph" w:styleId="Piedepgina">
    <w:name w:val="footer"/>
    <w:basedOn w:val="Normal"/>
    <w:link w:val="PiedepginaCar"/>
    <w:uiPriority w:val="99"/>
    <w:unhideWhenUsed w:val="1"/>
    <w:rsid w:val="004D7C4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D7C4F"/>
  </w:style>
  <w:style w:type="paragraph" w:styleId="Prrafodelista">
    <w:name w:val="List Paragraph"/>
    <w:basedOn w:val="Normal"/>
    <w:uiPriority w:val="34"/>
    <w:qFormat w:val="1"/>
    <w:rsid w:val="00246179"/>
    <w:pPr>
      <w:ind w:left="720"/>
      <w:contextualSpacing w:val="1"/>
    </w:pPr>
  </w:style>
  <w:style w:type="character" w:styleId="Hipervnculo">
    <w:name w:val="Hyperlink"/>
    <w:basedOn w:val="Fuentedeprrafopredeter"/>
    <w:uiPriority w:val="99"/>
    <w:unhideWhenUsed w:val="1"/>
    <w:rsid w:val="005F7B10"/>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tkBT8aM24TpOssPrZySd3LKv7Q==">AMUW2mWBvlHaTamOQEd5nFUHffzdVNGQtTs3c1sSMtZK5S8QoYDpKTP009NwNhjcSBinuRAPWJX8lJsIroGknGWaRfqJMxdWzwNVfwmswYY4rjX7Afk5hPI=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2022-01-20T16:04:00Z</dcterms:created>
  <dc:creator>Windows User</dc:creator>
</cp:coreProperties>
</file>