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Coordinador General de Transparencia, Archivo y Gobierno Abierto, desarrollará sus actividades con apego, a los artículos 210 y 211 del Reglamento General del Municipio de El Salto, Jalisco, así como las legislaciones aplicables de la materia, realizando las tareas necesarias para atender las diversas áreas de oportunidad que han sido identificadas por esta administración, así como las que durante el transcurso de la misma resulten.</w:t>
      </w:r>
    </w:p>
    <w:p w:rsidR="00000000" w:rsidDel="00000000" w:rsidP="00000000" w:rsidRDefault="00000000" w:rsidRPr="00000000" w14:paraId="00000004">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Coordinador General de Transparencia, Archivo y Gobierno Abierto para resolver de manera eficiente y eficaz cada uno de los procesos administrativos que se deban realizar, bajo los principios de legalidad y debido procedimiento.</w:t>
      </w:r>
    </w:p>
    <w:p w:rsidR="00000000" w:rsidDel="00000000" w:rsidP="00000000" w:rsidRDefault="00000000" w:rsidRPr="00000000" w14:paraId="00000006">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Planear, programar, organizar y evaluar el funcionamiento de las Unidades Administrativas a su cargo.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Evaluar el desempeño y cumplimiento de las funciones encomendadas a las dependencias que conforman la Coordinación General de Transparencia, Archivo y Gobierno Abierto, como lo son la Dirección de Archivo, Dirección de  Gobierno Abierto, Dirección de Transparencia y Buenas Prácticas y la Jefatura de Atención Ciudadana.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0D">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0">
      <w:pPr>
        <w:spacing w:after="0" w:lineRule="auto"/>
        <w:rPr>
          <w:b w:val="1"/>
          <w:color w:val="595959"/>
          <w:sz w:val="24"/>
          <w:szCs w:val="24"/>
        </w:rPr>
      </w:pPr>
      <w:r w:rsidDel="00000000" w:rsidR="00000000" w:rsidRPr="00000000">
        <w:rPr>
          <w:rtl w:val="0"/>
        </w:rPr>
      </w:r>
    </w:p>
    <w:tbl>
      <w:tblPr>
        <w:tblStyle w:val="Table1"/>
        <w:tblW w:w="17856.000000000007"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2836"/>
        <w:gridCol w:w="2977"/>
        <w:gridCol w:w="1843"/>
        <w:gridCol w:w="709"/>
        <w:gridCol w:w="708"/>
        <w:gridCol w:w="709"/>
        <w:gridCol w:w="709"/>
        <w:gridCol w:w="709"/>
        <w:gridCol w:w="708"/>
        <w:gridCol w:w="709"/>
        <w:gridCol w:w="709"/>
        <w:gridCol w:w="709"/>
        <w:gridCol w:w="708"/>
        <w:gridCol w:w="709"/>
        <w:gridCol w:w="709"/>
        <w:tblGridChange w:id="0">
          <w:tblGrid>
            <w:gridCol w:w="1695"/>
            <w:gridCol w:w="2836"/>
            <w:gridCol w:w="2977"/>
            <w:gridCol w:w="1843"/>
            <w:gridCol w:w="709"/>
            <w:gridCol w:w="708"/>
            <w:gridCol w:w="709"/>
            <w:gridCol w:w="709"/>
            <w:gridCol w:w="709"/>
            <w:gridCol w:w="708"/>
            <w:gridCol w:w="709"/>
            <w:gridCol w:w="709"/>
            <w:gridCol w:w="709"/>
            <w:gridCol w:w="708"/>
            <w:gridCol w:w="709"/>
            <w:gridCol w:w="709"/>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11">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12">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13">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4">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2"/>
            <w:shd w:fill="595959" w:val="clear"/>
            <w:vAlign w:val="center"/>
          </w:tcPr>
          <w:p w:rsidR="00000000" w:rsidDel="00000000" w:rsidP="00000000" w:rsidRDefault="00000000" w:rsidRPr="00000000" w14:paraId="00000015">
            <w:pPr>
              <w:spacing w:after="160" w:lineRule="auto"/>
              <w:jc w:val="center"/>
              <w:rPr>
                <w:b w:val="1"/>
                <w:sz w:val="24"/>
                <w:szCs w:val="24"/>
              </w:rPr>
            </w:pP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5">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6">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7">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28">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9">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2A">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30">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31">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Supervisar los mecanismos mediante los cuales se da acceso a la información pública a través de la Dirección de Transparencia</w:t>
            </w:r>
          </w:p>
        </w:tc>
        <w:tc>
          <w:tcPr>
            <w:vAlign w:val="center"/>
          </w:tcPr>
          <w:p w:rsidR="00000000" w:rsidDel="00000000" w:rsidP="00000000" w:rsidRDefault="00000000" w:rsidRPr="00000000" w14:paraId="00000032">
            <w:pPr>
              <w:jc w:val="both"/>
              <w:rPr>
                <w:rFonts w:ascii="Arial" w:cs="Arial" w:eastAsia="Arial" w:hAnsi="Arial"/>
                <w:color w:val="000000"/>
              </w:rPr>
            </w:pPr>
            <w:r w:rsidDel="00000000" w:rsidR="00000000" w:rsidRPr="00000000">
              <w:rPr>
                <w:rFonts w:ascii="Arial" w:cs="Arial" w:eastAsia="Arial" w:hAnsi="Arial"/>
                <w:color w:val="000000"/>
                <w:rtl w:val="0"/>
              </w:rPr>
              <w:t xml:space="preserve">Verificar que se difunda en el portal oficial del Municipio, la información pública fundamental de conformidad a los lineamientos del instituto, y se atiendan a la totalidad de las solicitudes presentadas</w:t>
            </w:r>
          </w:p>
        </w:tc>
        <w:tc>
          <w:tcPr>
            <w:vAlign w:val="center"/>
          </w:tcPr>
          <w:p w:rsidR="00000000" w:rsidDel="00000000" w:rsidP="00000000" w:rsidRDefault="00000000" w:rsidRPr="00000000" w14:paraId="00000033">
            <w:pPr>
              <w:jc w:val="both"/>
              <w:rPr>
                <w:rFonts w:ascii="Arial" w:cs="Arial" w:eastAsia="Arial" w:hAnsi="Arial"/>
                <w:color w:val="000000"/>
              </w:rPr>
            </w:pPr>
            <w:r w:rsidDel="00000000" w:rsidR="00000000" w:rsidRPr="00000000">
              <w:rPr>
                <w:rFonts w:ascii="Arial" w:cs="Arial" w:eastAsia="Arial" w:hAnsi="Arial"/>
                <w:color w:val="000000"/>
                <w:rtl w:val="0"/>
              </w:rPr>
              <w:t xml:space="preserve">Actualización de la información pública fundamental, para que esta se encuentre a disposición de la ciudadanía, así como la atención e los reportes presentados en los medios idóneos para hacerlo </w:t>
            </w:r>
          </w:p>
        </w:tc>
        <w:tc>
          <w:tcPr>
            <w:vAlign w:val="center"/>
          </w:tcPr>
          <w:p w:rsidR="00000000" w:rsidDel="00000000" w:rsidP="00000000" w:rsidRDefault="00000000" w:rsidRPr="00000000" w14:paraId="00000034">
            <w:pPr>
              <w:jc w:val="both"/>
              <w:rPr>
                <w:rFonts w:ascii="Arial" w:cs="Arial" w:eastAsia="Arial" w:hAnsi="Arial"/>
                <w:color w:val="000000"/>
              </w:rPr>
            </w:pPr>
            <w:r w:rsidDel="00000000" w:rsidR="00000000" w:rsidRPr="00000000">
              <w:rPr>
                <w:rFonts w:ascii="Arial" w:cs="Arial" w:eastAsia="Arial" w:hAnsi="Arial"/>
                <w:color w:val="000000"/>
                <w:rtl w:val="0"/>
              </w:rPr>
              <w:t xml:space="preserve">Reportes SIRES</w:t>
            </w:r>
          </w:p>
        </w:tc>
        <w:tc>
          <w:tcPr>
            <w:shd w:fill="d0cece" w:val="clear"/>
            <w:vAlign w:val="center"/>
          </w:tcPr>
          <w:p w:rsidR="00000000" w:rsidDel="00000000" w:rsidP="00000000" w:rsidRDefault="00000000" w:rsidRPr="00000000" w14:paraId="00000035">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6">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7">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8">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9">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A">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B">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3F">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0">
            <w:pPr>
              <w:jc w:val="both"/>
              <w:rPr>
                <w:sz w:val="24"/>
                <w:szCs w:val="24"/>
              </w:rPr>
            </w:pPr>
            <w:r w:rsidDel="00000000" w:rsidR="00000000" w:rsidRPr="00000000">
              <w:rPr>
                <w:rtl w:val="0"/>
              </w:rPr>
            </w:r>
          </w:p>
        </w:tc>
      </w:tr>
      <w:tr>
        <w:trPr>
          <w:cantSplit w:val="0"/>
          <w:trHeight w:val="1725" w:hRule="atLeast"/>
          <w:tblHeader w:val="0"/>
        </w:trPr>
        <w:tc>
          <w:tcPr>
            <w:vAlign w:val="center"/>
          </w:tcPr>
          <w:p w:rsidR="00000000" w:rsidDel="00000000" w:rsidP="00000000" w:rsidRDefault="00000000" w:rsidRPr="00000000" w14:paraId="00000041">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Supervisar los mecanismos mediante los cuales se cumple con lineamientos de archivo </w:t>
            </w:r>
          </w:p>
        </w:tc>
        <w:tc>
          <w:tcPr>
            <w:vAlign w:val="center"/>
          </w:tcPr>
          <w:p w:rsidR="00000000" w:rsidDel="00000000" w:rsidP="00000000" w:rsidRDefault="00000000" w:rsidRPr="00000000" w14:paraId="00000042">
            <w:pPr>
              <w:jc w:val="both"/>
              <w:rPr>
                <w:rFonts w:ascii="Arial" w:cs="Arial" w:eastAsia="Arial" w:hAnsi="Arial"/>
                <w:color w:val="000000"/>
              </w:rPr>
            </w:pPr>
            <w:r w:rsidDel="00000000" w:rsidR="00000000" w:rsidRPr="00000000">
              <w:rPr>
                <w:rFonts w:ascii="Arial" w:cs="Arial" w:eastAsia="Arial" w:hAnsi="Arial"/>
                <w:color w:val="000000"/>
                <w:rtl w:val="0"/>
              </w:rPr>
              <w:t xml:space="preserve">Verificar que se realicen las actividades inherentes al archivo municipal </w:t>
            </w:r>
          </w:p>
        </w:tc>
        <w:tc>
          <w:tcPr>
            <w:vAlign w:val="center"/>
          </w:tcPr>
          <w:p w:rsidR="00000000" w:rsidDel="00000000" w:rsidP="00000000" w:rsidRDefault="00000000" w:rsidRPr="00000000" w14:paraId="00000043">
            <w:pPr>
              <w:jc w:val="both"/>
              <w:rPr>
                <w:rFonts w:ascii="Arial" w:cs="Arial" w:eastAsia="Arial" w:hAnsi="Arial"/>
                <w:color w:val="000000"/>
              </w:rPr>
            </w:pPr>
            <w:r w:rsidDel="00000000" w:rsidR="00000000" w:rsidRPr="00000000">
              <w:rPr>
                <w:rFonts w:ascii="Arial" w:cs="Arial" w:eastAsia="Arial" w:hAnsi="Arial"/>
                <w:color w:val="000000"/>
                <w:rtl w:val="0"/>
              </w:rPr>
              <w:t xml:space="preserve">Actualización de los catálogos de disposición documental</w:t>
            </w:r>
          </w:p>
        </w:tc>
        <w:tc>
          <w:tcPr>
            <w:vAlign w:val="center"/>
          </w:tcPr>
          <w:p w:rsidR="00000000" w:rsidDel="00000000" w:rsidP="00000000" w:rsidRDefault="00000000" w:rsidRPr="00000000" w14:paraId="00000044">
            <w:pPr>
              <w:jc w:val="both"/>
              <w:rPr>
                <w:rFonts w:ascii="Arial" w:cs="Arial" w:eastAsia="Arial" w:hAnsi="Arial"/>
                <w:color w:val="000000"/>
              </w:rPr>
            </w:pPr>
            <w:r w:rsidDel="00000000" w:rsidR="00000000" w:rsidRPr="00000000">
              <w:rPr>
                <w:rFonts w:ascii="Arial" w:cs="Arial" w:eastAsia="Arial" w:hAnsi="Arial"/>
                <w:color w:val="000000"/>
                <w:rtl w:val="0"/>
              </w:rPr>
              <w:t xml:space="preserve">Dictámenes de bajas y transferencias documentales</w:t>
            </w:r>
          </w:p>
        </w:tc>
        <w:tc>
          <w:tcPr>
            <w:shd w:fill="d0cece" w:val="clear"/>
            <w:vAlign w:val="center"/>
          </w:tcPr>
          <w:p w:rsidR="00000000" w:rsidDel="00000000" w:rsidP="00000000" w:rsidRDefault="00000000" w:rsidRPr="00000000" w14:paraId="00000045">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6">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7">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8">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9">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A">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B">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4F">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0">
            <w:pPr>
              <w:jc w:val="both"/>
              <w:rPr>
                <w:sz w:val="24"/>
                <w:szCs w:val="24"/>
              </w:rPr>
            </w:pPr>
            <w:r w:rsidDel="00000000" w:rsidR="00000000" w:rsidRPr="00000000">
              <w:rPr>
                <w:rtl w:val="0"/>
              </w:rPr>
            </w:r>
          </w:p>
        </w:tc>
      </w:tr>
      <w:tr>
        <w:trPr>
          <w:cantSplit w:val="0"/>
          <w:trHeight w:val="1725" w:hRule="atLeast"/>
          <w:tblHeader w:val="0"/>
        </w:trPr>
        <w:tc>
          <w:tcPr>
            <w:vAlign w:val="center"/>
          </w:tcPr>
          <w:p w:rsidR="00000000" w:rsidDel="00000000" w:rsidP="00000000" w:rsidRDefault="00000000" w:rsidRPr="00000000" w14:paraId="00000051">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Supervisar los mecanismos de participación ciudadana</w:t>
            </w:r>
          </w:p>
        </w:tc>
        <w:tc>
          <w:tcPr>
            <w:vAlign w:val="center"/>
          </w:tcPr>
          <w:p w:rsidR="00000000" w:rsidDel="00000000" w:rsidP="00000000" w:rsidRDefault="00000000" w:rsidRPr="00000000" w14:paraId="00000052">
            <w:pPr>
              <w:jc w:val="both"/>
              <w:rPr>
                <w:rFonts w:ascii="Arial" w:cs="Arial" w:eastAsia="Arial" w:hAnsi="Arial"/>
                <w:color w:val="000000"/>
              </w:rPr>
            </w:pPr>
            <w:r w:rsidDel="00000000" w:rsidR="00000000" w:rsidRPr="00000000">
              <w:rPr>
                <w:rFonts w:ascii="Arial" w:cs="Arial" w:eastAsia="Arial" w:hAnsi="Arial"/>
                <w:color w:val="000000"/>
                <w:rtl w:val="0"/>
              </w:rPr>
              <w:t xml:space="preserve">Verificar promueve, fomente y difunda la participación de la ciudadanía </w:t>
            </w:r>
          </w:p>
        </w:tc>
        <w:tc>
          <w:tcPr>
            <w:vAlign w:val="center"/>
          </w:tcPr>
          <w:p w:rsidR="00000000" w:rsidDel="00000000" w:rsidP="00000000" w:rsidRDefault="00000000" w:rsidRPr="00000000" w14:paraId="00000053">
            <w:pPr>
              <w:jc w:val="both"/>
              <w:rPr>
                <w:rFonts w:ascii="Arial" w:cs="Arial" w:eastAsia="Arial" w:hAnsi="Arial"/>
                <w:color w:val="000000"/>
              </w:rPr>
            </w:pPr>
            <w:r w:rsidDel="00000000" w:rsidR="00000000" w:rsidRPr="00000000">
              <w:rPr>
                <w:rFonts w:ascii="Arial" w:cs="Arial" w:eastAsia="Arial" w:hAnsi="Arial"/>
                <w:color w:val="000000"/>
                <w:rtl w:val="0"/>
              </w:rPr>
              <w:t xml:space="preserve">Actualización del comparativo de los reportes presentados </w:t>
            </w:r>
            <w:r w:rsidDel="00000000" w:rsidR="00000000" w:rsidRPr="00000000">
              <w:rPr>
                <w:rFonts w:ascii="Arial" w:cs="Arial" w:eastAsia="Arial" w:hAnsi="Arial"/>
                <w:rtl w:val="0"/>
              </w:rPr>
              <w:t xml:space="preserve">y reportes</w:t>
            </w:r>
            <w:r w:rsidDel="00000000" w:rsidR="00000000" w:rsidRPr="00000000">
              <w:rPr>
                <w:rFonts w:ascii="Arial" w:cs="Arial" w:eastAsia="Arial" w:hAnsi="Arial"/>
                <w:color w:val="000000"/>
                <w:rtl w:val="0"/>
              </w:rPr>
              <w:t xml:space="preserve"> atendidos</w:t>
            </w:r>
          </w:p>
        </w:tc>
        <w:tc>
          <w:tcPr>
            <w:vAlign w:val="center"/>
          </w:tcPr>
          <w:p w:rsidR="00000000" w:rsidDel="00000000" w:rsidP="00000000" w:rsidRDefault="00000000" w:rsidRPr="00000000" w14:paraId="00000054">
            <w:pPr>
              <w:jc w:val="both"/>
              <w:rPr>
                <w:rFonts w:ascii="Arial" w:cs="Arial" w:eastAsia="Arial" w:hAnsi="Arial"/>
                <w:color w:val="000000"/>
              </w:rPr>
            </w:pPr>
            <w:r w:rsidDel="00000000" w:rsidR="00000000" w:rsidRPr="00000000">
              <w:rPr>
                <w:rFonts w:ascii="Arial" w:cs="Arial" w:eastAsia="Arial" w:hAnsi="Arial"/>
                <w:color w:val="000000"/>
                <w:rtl w:val="0"/>
              </w:rPr>
              <w:t xml:space="preserve">Reporte de las quejas presentadas y atendidas </w:t>
            </w:r>
          </w:p>
        </w:tc>
        <w:tc>
          <w:tcPr>
            <w:shd w:fill="d0cece" w:val="clear"/>
            <w:vAlign w:val="center"/>
          </w:tcPr>
          <w:p w:rsidR="00000000" w:rsidDel="00000000" w:rsidP="00000000" w:rsidRDefault="00000000" w:rsidRPr="00000000" w14:paraId="00000055">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6">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7">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8">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9">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A">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B">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C">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D">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E">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5F">
            <w:pPr>
              <w:jc w:val="both"/>
              <w:rPr>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60">
            <w:pPr>
              <w:jc w:val="both"/>
              <w:rPr>
                <w:sz w:val="24"/>
                <w:szCs w:val="24"/>
              </w:rPr>
            </w:pPr>
            <w:r w:rsidDel="00000000" w:rsidR="00000000" w:rsidRPr="00000000">
              <w:rPr>
                <w:rtl w:val="0"/>
              </w:rPr>
            </w:r>
          </w:p>
        </w:tc>
      </w:tr>
    </w:tbl>
    <w:p w:rsidR="00000000" w:rsidDel="00000000" w:rsidP="00000000" w:rsidRDefault="00000000" w:rsidRPr="00000000" w14:paraId="00000061">
      <w:pPr>
        <w:rPr>
          <w:sz w:val="24"/>
          <w:szCs w:val="24"/>
        </w:rPr>
      </w:pPr>
      <w:r w:rsidDel="00000000" w:rsidR="00000000" w:rsidRPr="00000000">
        <w:rPr>
          <w:rtl w:val="0"/>
        </w:rPr>
      </w:r>
    </w:p>
    <w:sectPr>
      <w:headerReference r:id="rId7" w:type="default"/>
      <w:footerReference r:id="rId8" w:type="default"/>
      <w:pgSz w:h="12240" w:w="20160"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0" w:lineRule="auto"/>
      <w:rPr>
        <w:b w:val="1"/>
        <w:color w:val="595959"/>
        <w:sz w:val="24"/>
        <w:szCs w:val="24"/>
      </w:rPr>
    </w:pPr>
    <w:r w:rsidDel="00000000" w:rsidR="00000000" w:rsidRPr="00000000">
      <w:rPr>
        <w:b w:val="1"/>
        <w:color w:val="595959"/>
        <w:sz w:val="24"/>
        <w:szCs w:val="24"/>
        <w:rtl w:val="0"/>
      </w:rPr>
      <w:t xml:space="preserve">COORDINACIÓN:</w:t>
    </w:r>
    <w:r w:rsidDel="00000000" w:rsidR="00000000" w:rsidRPr="00000000">
      <w:rPr>
        <w:rFonts w:ascii="Arial" w:cs="Arial" w:eastAsia="Arial" w:hAnsi="Arial"/>
        <w:sz w:val="24"/>
        <w:szCs w:val="24"/>
        <w:rtl w:val="0"/>
      </w:rPr>
      <w:t xml:space="preserve"> </w:t>
    </w:r>
    <w:r w:rsidDel="00000000" w:rsidR="00000000" w:rsidRPr="00000000">
      <w:rPr>
        <w:b w:val="1"/>
        <w:color w:val="595959"/>
        <w:sz w:val="24"/>
        <w:szCs w:val="24"/>
        <w:rtl w:val="0"/>
      </w:rPr>
      <w:t xml:space="preserve">Coordinador General de Transparencia, Archivo y Gobierno Abierto</w:t>
    </w:r>
  </w:p>
  <w:p w:rsidR="00000000" w:rsidDel="00000000" w:rsidP="00000000" w:rsidRDefault="00000000" w:rsidRPr="00000000" w14:paraId="00000067">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4765676</wp:posOffset>
          </wp:positionH>
          <wp:positionV relativeFrom="paragraph">
            <wp:posOffset>-112480</wp:posOffset>
          </wp:positionV>
          <wp:extent cx="1470658" cy="582055"/>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-38099</wp:posOffset>
          </wp:positionH>
          <wp:positionV relativeFrom="paragraph">
            <wp:posOffset>-95884</wp:posOffset>
          </wp:positionV>
          <wp:extent cx="1555750" cy="596900"/>
          <wp:effectExtent b="0" l="0" r="0" t="0"/>
          <wp:wrapNone/>
          <wp:docPr id="4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9323705</wp:posOffset>
          </wp:positionH>
          <wp:positionV relativeFrom="paragraph">
            <wp:posOffset>-62229</wp:posOffset>
          </wp:positionV>
          <wp:extent cx="1540615" cy="683741"/>
          <wp:effectExtent b="0" l="0" r="0" t="0"/>
          <wp:wrapNone/>
          <wp:docPr descr="C:\Users\Lenovo\Downloads\WhatsAppImage2022-01-12at12.53.47PM.jpeg" id="42" name="image1.jpg"/>
          <a:graphic>
            <a:graphicData uri="http://schemas.openxmlformats.org/drawingml/2006/picture">
              <pic:pic>
                <pic:nvPicPr>
                  <pic:cNvPr descr="C:\Users\Lenovo\Downloads\WhatsAppImage2022-01-12at12.53.47PM.jpeg" id="0" name="image1.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063">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064">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QhxMspoHr35A1fuNmPZAXCXoA==">AMUW2mWXa/kMhhctjsQDvrB6cpgkcRIm8+UQ1lhEq4IxJDK1xMEgMJwYijbkB359ReIoFSLsAj/3jxrIslhQFhnQ0ly4a0CRjwyGuiDfKgNMHo3MHBs5V7s=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2022-01-20T16:04:00Z</dcterms:created>
  <dc:creator>Windows User</dc:creator>
</cp:coreProperties>
</file>