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Alumbrado Público perteneciente a la Coordinación General de Servicios Municipales,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 Alumbrado Público, atendiendo a la brevedad y dar el seguimiento a los reportes ciudadanos; así como, el mantener iluminadas las calles y avenidas principales, plazas públicas y en lo que compete a la Dirección de Alumbrado Público para resolver de manera eficiente y eficaz cada uno de los procesos administrativos que se deban realizar, bajo los principios de legalidad y debido procedimiento.</w:t>
      </w:r>
    </w:p>
    <w:p w:rsidR="00000000" w:rsidDel="00000000" w:rsidP="00000000" w:rsidRDefault="00000000" w:rsidRPr="00000000" w14:paraId="00000007">
      <w:pPr>
        <w:ind w:left="127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NORMATIVIDAD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202 Reglamento General del Municipio de El Salto.-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Dirección de Alumbrado Público tiene las facultades siguientes: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acciones para actualizar los censos de alumbrado público y en su caso implementar programas de ahorro de energía y modernización de la infraestructura destinada a la prestación de dicho servicio público;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las acciones para mantener en operación el sistema de alumbrado público municipal, incluyendo parques, monumentos y obras del Municipio;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Diseñar, implementar y promover con calidad y eficiencia los mecanismos de control que sean necesarios para agilizar y simplificar los trámites y servicios que se lleven a cabo en la Dirección;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Emitir dictámenes de las redes de alumbrado público en las poblaciones y fraccionamientos, así como establecer los lineamientos para su servicio adecuado, de acuerdo a la normatividad establecida;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Evaluar el desempeño y cumplimiento de las funciones encomendadas a las dependencias que conforman la Dirección;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Formular y ejecutar los proyectos y programas anuales de trabajo de la Dirección;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Orientar y apoyar a la población en general interesada en la electrificación de colonias donde no exista ese servicio;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y supervisar los proyectos y la instalación de alumbrado público para la prestación del servicio en el territorio municipal;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Tramitar y valorar los daños que por concepto de pago o indemnización deban cubrirse al Municipio en materia de alumbrado público; 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previstas en la normatividad aplicable o que le instruya la o el Coordinador General de Servicios Municipales.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principales problemáticas que se encuentran en el Alumbrado Público son las luminarias apagadas en calles y avenidas principales a causa del vandalismo, esto causa asaltos a los ciudadanos; así mismo, el robo de cable en avenidas principales plazas, áreas verdes, etc.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Contribuir en la solución de las problemáticas que aquejan al municipio en materia de Alumbrado Público, dar una atención de calidad, atendiendo en forma oportuna los reportes y peticiones de los ciudadanos.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1B">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0">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2">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6">
      <w:pPr>
        <w:spacing w:after="0" w:lineRule="auto"/>
        <w:rPr>
          <w:b w:val="1"/>
          <w:color w:val="595959"/>
          <w:sz w:val="24"/>
          <w:szCs w:val="24"/>
        </w:rPr>
      </w:pPr>
      <w:r w:rsidDel="00000000" w:rsidR="00000000" w:rsidRPr="00000000">
        <w:rPr>
          <w:b w:val="1"/>
          <w:color w:val="595959"/>
          <w:sz w:val="24"/>
          <w:szCs w:val="24"/>
          <w:rtl w:val="0"/>
        </w:rPr>
        <w:t xml:space="preserve">COORDINACIÓN: </w:t>
      </w:r>
      <w:r w:rsidDel="00000000" w:rsidR="00000000" w:rsidRPr="00000000">
        <w:rPr>
          <w:color w:val="595959"/>
          <w:sz w:val="24"/>
          <w:szCs w:val="24"/>
          <w:rtl w:val="0"/>
        </w:rPr>
        <w:t xml:space="preserve">SERVICIOS MUNICIPALES</w:t>
      </w:r>
      <w:r w:rsidDel="00000000" w:rsidR="00000000" w:rsidRPr="00000000">
        <w:rPr>
          <w:rtl w:val="0"/>
        </w:rPr>
      </w:r>
    </w:p>
    <w:p w:rsidR="00000000" w:rsidDel="00000000" w:rsidP="00000000" w:rsidRDefault="00000000" w:rsidRPr="00000000" w14:paraId="00000027">
      <w:pPr>
        <w:spacing w:after="0" w:lineRule="auto"/>
        <w:rPr>
          <w:b w:val="1"/>
          <w:color w:val="595959"/>
          <w:sz w:val="24"/>
          <w:szCs w:val="24"/>
        </w:rPr>
      </w:pPr>
      <w:r w:rsidDel="00000000" w:rsidR="00000000" w:rsidRPr="00000000">
        <w:rPr>
          <w:b w:val="1"/>
          <w:color w:val="595959"/>
          <w:sz w:val="24"/>
          <w:szCs w:val="24"/>
          <w:rtl w:val="0"/>
        </w:rPr>
        <w:t xml:space="preserve">DEPENDENCIA:</w:t>
      </w:r>
      <w:r w:rsidDel="00000000" w:rsidR="00000000" w:rsidRPr="00000000">
        <w:rPr>
          <w:color w:val="595959"/>
          <w:sz w:val="24"/>
          <w:szCs w:val="24"/>
          <w:rtl w:val="0"/>
        </w:rPr>
        <w:t xml:space="preserve"> ALUMBRADO PUBLICO</w:t>
      </w:r>
      <w:r w:rsidDel="00000000" w:rsidR="00000000" w:rsidRPr="00000000">
        <w:rPr>
          <w:rtl w:val="0"/>
        </w:rPr>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Change w:id="0">
          <w:tblGrid>
            <w:gridCol w:w="1696"/>
            <w:gridCol w:w="1560"/>
            <w:gridCol w:w="1712"/>
            <w:gridCol w:w="1620"/>
            <w:gridCol w:w="262"/>
            <w:gridCol w:w="277"/>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28">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29">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2A">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2B">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2C">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3D">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3E">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3F">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40">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41">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42">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43">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44">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45">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46">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47">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48">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p w:rsidR="00000000" w:rsidDel="00000000" w:rsidP="00000000" w:rsidRDefault="00000000" w:rsidRPr="00000000" w14:paraId="00000049">
            <w:pPr>
              <w:spacing w:line="240" w:lineRule="auto"/>
              <w:jc w:val="center"/>
              <w:rPr>
                <w:sz w:val="24"/>
                <w:szCs w:val="24"/>
              </w:rPr>
            </w:pPr>
            <w:r w:rsidDel="00000000" w:rsidR="00000000" w:rsidRPr="00000000">
              <w:rPr>
                <w:rtl w:val="0"/>
              </w:rPr>
            </w:r>
          </w:p>
          <w:p w:rsidR="00000000" w:rsidDel="00000000" w:rsidP="00000000" w:rsidRDefault="00000000" w:rsidRPr="00000000" w14:paraId="0000004A">
            <w:pPr>
              <w:spacing w:line="240" w:lineRule="auto"/>
              <w:jc w:val="center"/>
              <w:rPr>
                <w:sz w:val="24"/>
                <w:szCs w:val="24"/>
              </w:rPr>
            </w:pPr>
            <w:r w:rsidDel="00000000" w:rsidR="00000000" w:rsidRPr="00000000">
              <w:rPr>
                <w:sz w:val="24"/>
                <w:szCs w:val="24"/>
                <w:rtl w:val="0"/>
              </w:rPr>
              <w:t xml:space="preserve">Atención a reportes ciudadanos </w:t>
            </w:r>
          </w:p>
        </w:tc>
        <w:tc>
          <w:tcPr>
            <w:vAlign w:val="center"/>
          </w:tcPr>
          <w:p w:rsidR="00000000" w:rsidDel="00000000" w:rsidP="00000000" w:rsidRDefault="00000000" w:rsidRPr="00000000" w14:paraId="0000004B">
            <w:pPr>
              <w:spacing w:after="160" w:lineRule="auto"/>
              <w:rPr>
                <w:sz w:val="24"/>
                <w:szCs w:val="24"/>
              </w:rPr>
            </w:pPr>
            <w:r w:rsidDel="00000000" w:rsidR="00000000" w:rsidRPr="00000000">
              <w:rPr>
                <w:sz w:val="24"/>
                <w:szCs w:val="24"/>
                <w:rtl w:val="0"/>
              </w:rPr>
              <w:t xml:space="preserve">Otorgar una atención oportuna y mejorar la programación para la atención de reportes</w:t>
            </w:r>
          </w:p>
        </w:tc>
        <w:tc>
          <w:tcPr/>
          <w:p w:rsidR="00000000" w:rsidDel="00000000" w:rsidP="00000000" w:rsidRDefault="00000000" w:rsidRPr="00000000" w14:paraId="0000004C">
            <w:pPr>
              <w:spacing w:line="240" w:lineRule="auto"/>
              <w:jc w:val="center"/>
              <w:rPr>
                <w:sz w:val="24"/>
                <w:szCs w:val="24"/>
              </w:rPr>
            </w:pPr>
            <w:r w:rsidDel="00000000" w:rsidR="00000000" w:rsidRPr="00000000">
              <w:rPr>
                <w:rtl w:val="0"/>
              </w:rPr>
            </w:r>
          </w:p>
          <w:p w:rsidR="00000000" w:rsidDel="00000000" w:rsidP="00000000" w:rsidRDefault="00000000" w:rsidRPr="00000000" w14:paraId="0000004D">
            <w:pPr>
              <w:spacing w:line="240" w:lineRule="auto"/>
              <w:jc w:val="center"/>
              <w:rPr>
                <w:sz w:val="24"/>
                <w:szCs w:val="24"/>
              </w:rPr>
            </w:pPr>
            <w:r w:rsidDel="00000000" w:rsidR="00000000" w:rsidRPr="00000000">
              <w:rPr>
                <w:sz w:val="24"/>
                <w:szCs w:val="24"/>
                <w:rtl w:val="0"/>
              </w:rPr>
              <w:t xml:space="preserve">Atender el mayor número de reportes de atención a la ciudadanía</w:t>
            </w:r>
          </w:p>
        </w:tc>
        <w:tc>
          <w:tcPr/>
          <w:p w:rsidR="00000000" w:rsidDel="00000000" w:rsidP="00000000" w:rsidRDefault="00000000" w:rsidRPr="00000000" w14:paraId="0000004E">
            <w:pPr>
              <w:spacing w:line="240" w:lineRule="auto"/>
              <w:jc w:val="center"/>
              <w:rPr>
                <w:sz w:val="24"/>
                <w:szCs w:val="24"/>
              </w:rPr>
            </w:pPr>
            <w:r w:rsidDel="00000000" w:rsidR="00000000" w:rsidRPr="00000000">
              <w:rPr>
                <w:rtl w:val="0"/>
              </w:rPr>
            </w:r>
          </w:p>
          <w:p w:rsidR="00000000" w:rsidDel="00000000" w:rsidP="00000000" w:rsidRDefault="00000000" w:rsidRPr="00000000" w14:paraId="0000004F">
            <w:pPr>
              <w:spacing w:line="240" w:lineRule="auto"/>
              <w:jc w:val="center"/>
              <w:rPr>
                <w:sz w:val="24"/>
                <w:szCs w:val="24"/>
              </w:rPr>
            </w:pPr>
            <w:r w:rsidDel="00000000" w:rsidR="00000000" w:rsidRPr="00000000">
              <w:rPr>
                <w:sz w:val="24"/>
                <w:szCs w:val="24"/>
                <w:rtl w:val="0"/>
              </w:rPr>
              <w:t xml:space="preserve">Cantidad de reportes ciudadanos atendidos</w:t>
            </w:r>
          </w:p>
        </w:tc>
        <w:tc>
          <w:tcPr>
            <w:shd w:fill="f7cbac" w:val="clear"/>
          </w:tcPr>
          <w:p w:rsidR="00000000" w:rsidDel="00000000" w:rsidP="00000000" w:rsidRDefault="00000000" w:rsidRPr="00000000" w14:paraId="00000050">
            <w:pPr>
              <w:spacing w:line="24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1">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2">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3">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4">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5">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6">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7">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8">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A">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r>
      <w:tr>
        <w:trPr>
          <w:cantSplit w:val="0"/>
          <w:trHeight w:val="2027" w:hRule="atLeast"/>
          <w:tblHeader w:val="0"/>
        </w:trPr>
        <w:tc>
          <w:tcPr/>
          <w:p w:rsidR="00000000" w:rsidDel="00000000" w:rsidP="00000000" w:rsidRDefault="00000000" w:rsidRPr="00000000" w14:paraId="0000005C">
            <w:pPr>
              <w:spacing w:line="240" w:lineRule="auto"/>
              <w:jc w:val="center"/>
              <w:rPr>
                <w:sz w:val="24"/>
                <w:szCs w:val="24"/>
              </w:rPr>
            </w:pPr>
            <w:r w:rsidDel="00000000" w:rsidR="00000000" w:rsidRPr="00000000">
              <w:rPr>
                <w:rtl w:val="0"/>
              </w:rPr>
            </w:r>
          </w:p>
          <w:p w:rsidR="00000000" w:rsidDel="00000000" w:rsidP="00000000" w:rsidRDefault="00000000" w:rsidRPr="00000000" w14:paraId="0000005D">
            <w:pPr>
              <w:spacing w:line="240" w:lineRule="auto"/>
              <w:jc w:val="center"/>
              <w:rPr>
                <w:sz w:val="24"/>
                <w:szCs w:val="24"/>
              </w:rPr>
            </w:pPr>
            <w:r w:rsidDel="00000000" w:rsidR="00000000" w:rsidRPr="00000000">
              <w:rPr>
                <w:sz w:val="24"/>
                <w:szCs w:val="24"/>
                <w:rtl w:val="0"/>
              </w:rPr>
              <w:t xml:space="preserve">Sustituir luminarias LED</w:t>
            </w:r>
          </w:p>
        </w:tc>
        <w:tc>
          <w:tcPr/>
          <w:p w:rsidR="00000000" w:rsidDel="00000000" w:rsidP="00000000" w:rsidRDefault="00000000" w:rsidRPr="00000000" w14:paraId="0000005E">
            <w:pPr>
              <w:spacing w:line="240" w:lineRule="auto"/>
              <w:jc w:val="center"/>
              <w:rPr>
                <w:sz w:val="24"/>
                <w:szCs w:val="24"/>
              </w:rPr>
            </w:pPr>
            <w:r w:rsidDel="00000000" w:rsidR="00000000" w:rsidRPr="00000000">
              <w:rPr>
                <w:rtl w:val="0"/>
              </w:rPr>
            </w:r>
          </w:p>
          <w:p w:rsidR="00000000" w:rsidDel="00000000" w:rsidP="00000000" w:rsidRDefault="00000000" w:rsidRPr="00000000" w14:paraId="0000005F">
            <w:pPr>
              <w:spacing w:line="240" w:lineRule="auto"/>
              <w:jc w:val="center"/>
              <w:rPr>
                <w:sz w:val="24"/>
                <w:szCs w:val="24"/>
              </w:rPr>
            </w:pPr>
            <w:r w:rsidDel="00000000" w:rsidR="00000000" w:rsidRPr="00000000">
              <w:rPr>
                <w:sz w:val="24"/>
                <w:szCs w:val="24"/>
                <w:rtl w:val="0"/>
              </w:rPr>
              <w:t xml:space="preserve">Reducir costos por uso de energía en luminarias hasta un 75% por lámpara sustituida</w:t>
            </w:r>
          </w:p>
        </w:tc>
        <w:tc>
          <w:tcPr/>
          <w:p w:rsidR="00000000" w:rsidDel="00000000" w:rsidP="00000000" w:rsidRDefault="00000000" w:rsidRPr="00000000" w14:paraId="00000060">
            <w:pPr>
              <w:spacing w:line="240" w:lineRule="auto"/>
              <w:jc w:val="center"/>
              <w:rPr>
                <w:sz w:val="24"/>
                <w:szCs w:val="24"/>
              </w:rPr>
            </w:pPr>
            <w:r w:rsidDel="00000000" w:rsidR="00000000" w:rsidRPr="00000000">
              <w:rPr>
                <w:rtl w:val="0"/>
              </w:rPr>
            </w:r>
          </w:p>
          <w:p w:rsidR="00000000" w:rsidDel="00000000" w:rsidP="00000000" w:rsidRDefault="00000000" w:rsidRPr="00000000" w14:paraId="00000061">
            <w:pPr>
              <w:spacing w:line="240" w:lineRule="auto"/>
              <w:jc w:val="center"/>
              <w:rPr>
                <w:sz w:val="24"/>
                <w:szCs w:val="24"/>
              </w:rPr>
            </w:pPr>
            <w:r w:rsidDel="00000000" w:rsidR="00000000" w:rsidRPr="00000000">
              <w:rPr>
                <w:sz w:val="24"/>
                <w:szCs w:val="24"/>
                <w:rtl w:val="0"/>
              </w:rPr>
              <w:t xml:space="preserve">Reposición de luminarias de vapor de sodio por led abarcando el mayor número posible </w:t>
            </w:r>
          </w:p>
        </w:tc>
        <w:tc>
          <w:tcPr/>
          <w:p w:rsidR="00000000" w:rsidDel="00000000" w:rsidP="00000000" w:rsidRDefault="00000000" w:rsidRPr="00000000" w14:paraId="00000062">
            <w:pPr>
              <w:spacing w:line="240" w:lineRule="auto"/>
              <w:jc w:val="center"/>
              <w:rPr>
                <w:sz w:val="24"/>
                <w:szCs w:val="24"/>
              </w:rPr>
            </w:pPr>
            <w:r w:rsidDel="00000000" w:rsidR="00000000" w:rsidRPr="00000000">
              <w:rPr>
                <w:rtl w:val="0"/>
              </w:rPr>
            </w:r>
          </w:p>
          <w:p w:rsidR="00000000" w:rsidDel="00000000" w:rsidP="00000000" w:rsidRDefault="00000000" w:rsidRPr="00000000" w14:paraId="00000063">
            <w:pPr>
              <w:spacing w:line="240" w:lineRule="auto"/>
              <w:jc w:val="center"/>
              <w:rPr>
                <w:sz w:val="24"/>
                <w:szCs w:val="24"/>
              </w:rPr>
            </w:pPr>
            <w:r w:rsidDel="00000000" w:rsidR="00000000" w:rsidRPr="00000000">
              <w:rPr>
                <w:sz w:val="24"/>
                <w:szCs w:val="24"/>
                <w:rtl w:val="0"/>
              </w:rPr>
              <w:t xml:space="preserve">Número de luminarias sustituidas</w:t>
            </w:r>
          </w:p>
          <w:p w:rsidR="00000000" w:rsidDel="00000000" w:rsidP="00000000" w:rsidRDefault="00000000" w:rsidRPr="00000000" w14:paraId="00000064">
            <w:pPr>
              <w:spacing w:line="240" w:lineRule="auto"/>
              <w:jc w:val="center"/>
              <w:rPr>
                <w:sz w:val="24"/>
                <w:szCs w:val="24"/>
              </w:rPr>
            </w:pPr>
            <w:r w:rsidDel="00000000" w:rsidR="00000000" w:rsidRPr="00000000">
              <w:rPr>
                <w:sz w:val="24"/>
                <w:szCs w:val="24"/>
                <w:rtl w:val="0"/>
              </w:rPr>
              <w:t xml:space="preserve">(LED)</w:t>
            </w:r>
          </w:p>
        </w:tc>
        <w:tc>
          <w:tcPr>
            <w:shd w:fill="f7cbac" w:val="clear"/>
            <w:vAlign w:val="center"/>
          </w:tcPr>
          <w:p w:rsidR="00000000" w:rsidDel="00000000" w:rsidP="00000000" w:rsidRDefault="00000000" w:rsidRPr="00000000" w14:paraId="00000065">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6">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7">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8">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9">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r>
      <w:tr>
        <w:trPr>
          <w:cantSplit w:val="0"/>
          <w:trHeight w:val="2027" w:hRule="atLeast"/>
          <w:tblHeader w:val="0"/>
        </w:trPr>
        <w:tc>
          <w:tcPr/>
          <w:p w:rsidR="00000000" w:rsidDel="00000000" w:rsidP="00000000" w:rsidRDefault="00000000" w:rsidRPr="00000000" w14:paraId="00000071">
            <w:pPr>
              <w:spacing w:line="240" w:lineRule="auto"/>
              <w:jc w:val="center"/>
              <w:rPr>
                <w:sz w:val="24"/>
                <w:szCs w:val="24"/>
              </w:rPr>
            </w:pPr>
            <w:r w:rsidDel="00000000" w:rsidR="00000000" w:rsidRPr="00000000">
              <w:rPr>
                <w:rtl w:val="0"/>
              </w:rPr>
            </w:r>
          </w:p>
          <w:p w:rsidR="00000000" w:rsidDel="00000000" w:rsidP="00000000" w:rsidRDefault="00000000" w:rsidRPr="00000000" w14:paraId="00000072">
            <w:pPr>
              <w:spacing w:line="240" w:lineRule="auto"/>
              <w:jc w:val="center"/>
              <w:rPr>
                <w:sz w:val="24"/>
                <w:szCs w:val="24"/>
              </w:rPr>
            </w:pPr>
            <w:r w:rsidDel="00000000" w:rsidR="00000000" w:rsidRPr="00000000">
              <w:rPr>
                <w:sz w:val="24"/>
                <w:szCs w:val="24"/>
                <w:rtl w:val="0"/>
              </w:rPr>
              <w:t xml:space="preserve">Mantenimiento de luminarias</w:t>
            </w:r>
          </w:p>
        </w:tc>
        <w:tc>
          <w:tcPr/>
          <w:p w:rsidR="00000000" w:rsidDel="00000000" w:rsidP="00000000" w:rsidRDefault="00000000" w:rsidRPr="00000000" w14:paraId="00000073">
            <w:pPr>
              <w:spacing w:line="240" w:lineRule="auto"/>
              <w:jc w:val="center"/>
              <w:rPr>
                <w:sz w:val="24"/>
                <w:szCs w:val="24"/>
              </w:rPr>
            </w:pPr>
            <w:r w:rsidDel="00000000" w:rsidR="00000000" w:rsidRPr="00000000">
              <w:rPr>
                <w:rtl w:val="0"/>
              </w:rPr>
            </w:r>
          </w:p>
          <w:p w:rsidR="00000000" w:rsidDel="00000000" w:rsidP="00000000" w:rsidRDefault="00000000" w:rsidRPr="00000000" w14:paraId="00000074">
            <w:pPr>
              <w:spacing w:line="240" w:lineRule="auto"/>
              <w:jc w:val="center"/>
              <w:rPr>
                <w:sz w:val="24"/>
                <w:szCs w:val="24"/>
              </w:rPr>
            </w:pPr>
            <w:r w:rsidDel="00000000" w:rsidR="00000000" w:rsidRPr="00000000">
              <w:rPr>
                <w:sz w:val="24"/>
                <w:szCs w:val="24"/>
                <w:rtl w:val="0"/>
              </w:rPr>
              <w:t xml:space="preserve">Mantener delegaciones y/o agencias municipales alumbradas</w:t>
            </w:r>
          </w:p>
        </w:tc>
        <w:tc>
          <w:tcPr/>
          <w:p w:rsidR="00000000" w:rsidDel="00000000" w:rsidP="00000000" w:rsidRDefault="00000000" w:rsidRPr="00000000" w14:paraId="00000075">
            <w:pPr>
              <w:spacing w:line="240" w:lineRule="auto"/>
              <w:jc w:val="center"/>
              <w:rPr>
                <w:sz w:val="24"/>
                <w:szCs w:val="24"/>
              </w:rPr>
            </w:pPr>
            <w:r w:rsidDel="00000000" w:rsidR="00000000" w:rsidRPr="00000000">
              <w:rPr>
                <w:rtl w:val="0"/>
              </w:rPr>
            </w:r>
          </w:p>
          <w:p w:rsidR="00000000" w:rsidDel="00000000" w:rsidP="00000000" w:rsidRDefault="00000000" w:rsidRPr="00000000" w14:paraId="00000076">
            <w:pPr>
              <w:spacing w:line="240" w:lineRule="auto"/>
              <w:jc w:val="center"/>
              <w:rPr>
                <w:sz w:val="24"/>
                <w:szCs w:val="24"/>
              </w:rPr>
            </w:pPr>
            <w:r w:rsidDel="00000000" w:rsidR="00000000" w:rsidRPr="00000000">
              <w:rPr>
                <w:sz w:val="24"/>
                <w:szCs w:val="24"/>
                <w:rtl w:val="0"/>
              </w:rPr>
              <w:t xml:space="preserve">Atender el total de las delegaciones y agencias municipales </w:t>
            </w:r>
          </w:p>
        </w:tc>
        <w:tc>
          <w:tcPr/>
          <w:p w:rsidR="00000000" w:rsidDel="00000000" w:rsidP="00000000" w:rsidRDefault="00000000" w:rsidRPr="00000000" w14:paraId="00000077">
            <w:pPr>
              <w:spacing w:line="240" w:lineRule="auto"/>
              <w:jc w:val="center"/>
              <w:rPr>
                <w:sz w:val="24"/>
                <w:szCs w:val="24"/>
              </w:rPr>
            </w:pPr>
            <w:r w:rsidDel="00000000" w:rsidR="00000000" w:rsidRPr="00000000">
              <w:rPr>
                <w:rtl w:val="0"/>
              </w:rPr>
            </w:r>
          </w:p>
          <w:p w:rsidR="00000000" w:rsidDel="00000000" w:rsidP="00000000" w:rsidRDefault="00000000" w:rsidRPr="00000000" w14:paraId="00000078">
            <w:pPr>
              <w:spacing w:line="240" w:lineRule="auto"/>
              <w:jc w:val="center"/>
              <w:rPr>
                <w:sz w:val="24"/>
                <w:szCs w:val="24"/>
              </w:rPr>
            </w:pPr>
            <w:r w:rsidDel="00000000" w:rsidR="00000000" w:rsidRPr="00000000">
              <w:rPr>
                <w:sz w:val="24"/>
                <w:szCs w:val="24"/>
                <w:rtl w:val="0"/>
              </w:rPr>
              <w:t xml:space="preserve">Número de luminarias reparadas </w:t>
            </w:r>
          </w:p>
        </w:tc>
        <w:tc>
          <w:tcPr>
            <w:shd w:fill="f7cbac" w:val="clear"/>
            <w:vAlign w:val="center"/>
          </w:tcPr>
          <w:p w:rsidR="00000000" w:rsidDel="00000000" w:rsidP="00000000" w:rsidRDefault="00000000" w:rsidRPr="00000000" w14:paraId="00000079">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A">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B">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C">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D">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E">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7F">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0">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1">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2">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3">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4">
            <w:pPr>
              <w:spacing w:after="160" w:lineRule="auto"/>
              <w:rPr>
                <w:sz w:val="24"/>
                <w:szCs w:val="24"/>
              </w:rPr>
            </w:pPr>
            <w:r w:rsidDel="00000000" w:rsidR="00000000" w:rsidRPr="00000000">
              <w:rPr>
                <w:rtl w:val="0"/>
              </w:rPr>
            </w:r>
          </w:p>
        </w:tc>
      </w:tr>
      <w:tr>
        <w:trPr>
          <w:cantSplit w:val="0"/>
          <w:trHeight w:val="2027" w:hRule="atLeast"/>
          <w:tblHeader w:val="0"/>
        </w:trPr>
        <w:tc>
          <w:tcPr/>
          <w:p w:rsidR="00000000" w:rsidDel="00000000" w:rsidP="00000000" w:rsidRDefault="00000000" w:rsidRPr="00000000" w14:paraId="00000085">
            <w:pPr>
              <w:spacing w:line="240" w:lineRule="auto"/>
              <w:jc w:val="center"/>
              <w:rPr>
                <w:sz w:val="24"/>
                <w:szCs w:val="24"/>
              </w:rPr>
            </w:pPr>
            <w:r w:rsidDel="00000000" w:rsidR="00000000" w:rsidRPr="00000000">
              <w:rPr>
                <w:rtl w:val="0"/>
              </w:rPr>
            </w:r>
          </w:p>
          <w:p w:rsidR="00000000" w:rsidDel="00000000" w:rsidP="00000000" w:rsidRDefault="00000000" w:rsidRPr="00000000" w14:paraId="00000086">
            <w:pPr>
              <w:spacing w:line="240" w:lineRule="auto"/>
              <w:jc w:val="center"/>
              <w:rPr>
                <w:sz w:val="24"/>
                <w:szCs w:val="24"/>
              </w:rPr>
            </w:pPr>
            <w:r w:rsidDel="00000000" w:rsidR="00000000" w:rsidRPr="00000000">
              <w:rPr>
                <w:sz w:val="24"/>
                <w:szCs w:val="24"/>
                <w:rtl w:val="0"/>
              </w:rPr>
              <w:t xml:space="preserve">Mantener iluminadas las paradas de camión</w:t>
            </w:r>
          </w:p>
        </w:tc>
        <w:tc>
          <w:tcPr/>
          <w:p w:rsidR="00000000" w:rsidDel="00000000" w:rsidP="00000000" w:rsidRDefault="00000000" w:rsidRPr="00000000" w14:paraId="00000087">
            <w:pPr>
              <w:spacing w:line="240" w:lineRule="auto"/>
              <w:jc w:val="center"/>
              <w:rPr>
                <w:sz w:val="24"/>
                <w:szCs w:val="24"/>
              </w:rPr>
            </w:pPr>
            <w:r w:rsidDel="00000000" w:rsidR="00000000" w:rsidRPr="00000000">
              <w:rPr>
                <w:sz w:val="24"/>
                <w:szCs w:val="24"/>
                <w:rtl w:val="0"/>
              </w:rPr>
              <w:t xml:space="preserve">Brindar atención de iluminación en las principales paradas de camión</w:t>
            </w:r>
          </w:p>
        </w:tc>
        <w:tc>
          <w:tcPr/>
          <w:p w:rsidR="00000000" w:rsidDel="00000000" w:rsidP="00000000" w:rsidRDefault="00000000" w:rsidRPr="00000000" w14:paraId="00000088">
            <w:pPr>
              <w:spacing w:line="240" w:lineRule="auto"/>
              <w:jc w:val="center"/>
              <w:rPr>
                <w:sz w:val="24"/>
                <w:szCs w:val="24"/>
              </w:rPr>
            </w:pPr>
            <w:r w:rsidDel="00000000" w:rsidR="00000000" w:rsidRPr="00000000">
              <w:rPr>
                <w:rtl w:val="0"/>
              </w:rPr>
            </w:r>
          </w:p>
          <w:p w:rsidR="00000000" w:rsidDel="00000000" w:rsidP="00000000" w:rsidRDefault="00000000" w:rsidRPr="00000000" w14:paraId="00000089">
            <w:pPr>
              <w:spacing w:line="240" w:lineRule="auto"/>
              <w:jc w:val="center"/>
              <w:rPr>
                <w:sz w:val="24"/>
                <w:szCs w:val="24"/>
              </w:rPr>
            </w:pPr>
            <w:r w:rsidDel="00000000" w:rsidR="00000000" w:rsidRPr="00000000">
              <w:rPr>
                <w:sz w:val="24"/>
                <w:szCs w:val="24"/>
                <w:rtl w:val="0"/>
              </w:rPr>
              <w:t xml:space="preserve">Cubrir las necesidades emergentes</w:t>
            </w:r>
          </w:p>
        </w:tc>
        <w:tc>
          <w:tcPr/>
          <w:p w:rsidR="00000000" w:rsidDel="00000000" w:rsidP="00000000" w:rsidRDefault="00000000" w:rsidRPr="00000000" w14:paraId="0000008A">
            <w:pPr>
              <w:spacing w:line="240" w:lineRule="auto"/>
              <w:jc w:val="center"/>
              <w:rPr>
                <w:sz w:val="24"/>
                <w:szCs w:val="24"/>
              </w:rPr>
            </w:pPr>
            <w:r w:rsidDel="00000000" w:rsidR="00000000" w:rsidRPr="00000000">
              <w:rPr>
                <w:rtl w:val="0"/>
              </w:rPr>
            </w:r>
          </w:p>
          <w:p w:rsidR="00000000" w:rsidDel="00000000" w:rsidP="00000000" w:rsidRDefault="00000000" w:rsidRPr="00000000" w14:paraId="0000008B">
            <w:pPr>
              <w:spacing w:line="240" w:lineRule="auto"/>
              <w:jc w:val="center"/>
              <w:rPr>
                <w:sz w:val="24"/>
                <w:szCs w:val="24"/>
              </w:rPr>
            </w:pPr>
            <w:r w:rsidDel="00000000" w:rsidR="00000000" w:rsidRPr="00000000">
              <w:rPr>
                <w:sz w:val="24"/>
                <w:szCs w:val="24"/>
                <w:rtl w:val="0"/>
              </w:rPr>
              <w:t xml:space="preserve">Áreas iluminadas con perspectiva de seguridad </w:t>
            </w:r>
          </w:p>
        </w:tc>
        <w:tc>
          <w:tcPr>
            <w:shd w:fill="f7cbac" w:val="clear"/>
            <w:vAlign w:val="center"/>
          </w:tcPr>
          <w:p w:rsidR="00000000" w:rsidDel="00000000" w:rsidP="00000000" w:rsidRDefault="00000000" w:rsidRPr="00000000" w14:paraId="0000008C">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D">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E">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8F">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0">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1">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2">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3">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4">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5">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6">
            <w:pPr>
              <w:spacing w:after="160" w:lineRule="auto"/>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7">
            <w:pPr>
              <w:spacing w:after="160" w:lineRule="auto"/>
              <w:rPr>
                <w:sz w:val="24"/>
                <w:szCs w:val="24"/>
              </w:rPr>
            </w:pPr>
            <w:r w:rsidDel="00000000" w:rsidR="00000000" w:rsidRPr="00000000">
              <w:rPr>
                <w:rtl w:val="0"/>
              </w:rPr>
            </w:r>
          </w:p>
        </w:tc>
      </w:tr>
      <w:tr>
        <w:trPr>
          <w:cantSplit w:val="0"/>
          <w:trHeight w:val="2027" w:hRule="atLeast"/>
          <w:tblHeader w:val="0"/>
        </w:trPr>
        <w:tc>
          <w:tcPr/>
          <w:p w:rsidR="00000000" w:rsidDel="00000000" w:rsidP="00000000" w:rsidRDefault="00000000" w:rsidRPr="00000000" w14:paraId="00000098">
            <w:pPr>
              <w:spacing w:line="240" w:lineRule="auto"/>
              <w:jc w:val="center"/>
              <w:rPr>
                <w:sz w:val="24"/>
                <w:szCs w:val="24"/>
              </w:rPr>
            </w:pPr>
            <w:r w:rsidDel="00000000" w:rsidR="00000000" w:rsidRPr="00000000">
              <w:rPr>
                <w:sz w:val="24"/>
                <w:szCs w:val="24"/>
                <w:rtl w:val="0"/>
              </w:rPr>
              <w:t xml:space="preserve">Mantener iluminadas las plazas públicas</w:t>
            </w:r>
          </w:p>
        </w:tc>
        <w:tc>
          <w:tcPr/>
          <w:p w:rsidR="00000000" w:rsidDel="00000000" w:rsidP="00000000" w:rsidRDefault="00000000" w:rsidRPr="00000000" w14:paraId="00000099">
            <w:pPr>
              <w:spacing w:line="240" w:lineRule="auto"/>
              <w:jc w:val="center"/>
              <w:rPr>
                <w:sz w:val="24"/>
                <w:szCs w:val="24"/>
              </w:rPr>
            </w:pPr>
            <w:r w:rsidDel="00000000" w:rsidR="00000000" w:rsidRPr="00000000">
              <w:rPr>
                <w:sz w:val="24"/>
                <w:szCs w:val="24"/>
                <w:rtl w:val="0"/>
              </w:rPr>
              <w:t xml:space="preserve">Brindar atención de iluminación en las Plazas</w:t>
            </w:r>
          </w:p>
        </w:tc>
        <w:tc>
          <w:tcPr/>
          <w:p w:rsidR="00000000" w:rsidDel="00000000" w:rsidP="00000000" w:rsidRDefault="00000000" w:rsidRPr="00000000" w14:paraId="0000009A">
            <w:pPr>
              <w:spacing w:line="240" w:lineRule="auto"/>
              <w:jc w:val="center"/>
              <w:rPr>
                <w:sz w:val="24"/>
                <w:szCs w:val="24"/>
              </w:rPr>
            </w:pPr>
            <w:r w:rsidDel="00000000" w:rsidR="00000000" w:rsidRPr="00000000">
              <w:rPr>
                <w:sz w:val="24"/>
                <w:szCs w:val="24"/>
                <w:rtl w:val="0"/>
              </w:rPr>
              <w:t xml:space="preserve">Dar buena imagen y seguridad al ciudadano</w:t>
            </w:r>
          </w:p>
        </w:tc>
        <w:tc>
          <w:tcPr/>
          <w:p w:rsidR="00000000" w:rsidDel="00000000" w:rsidP="00000000" w:rsidRDefault="00000000" w:rsidRPr="00000000" w14:paraId="0000009B">
            <w:pPr>
              <w:spacing w:line="240" w:lineRule="auto"/>
              <w:jc w:val="center"/>
              <w:rPr>
                <w:sz w:val="24"/>
                <w:szCs w:val="24"/>
              </w:rPr>
            </w:pPr>
            <w:r w:rsidDel="00000000" w:rsidR="00000000" w:rsidRPr="00000000">
              <w:rPr>
                <w:sz w:val="24"/>
                <w:szCs w:val="24"/>
                <w:rtl w:val="0"/>
              </w:rPr>
              <w:t xml:space="preserve">Cantidad de plazas públicas iluminadas</w:t>
            </w:r>
          </w:p>
          <w:p w:rsidR="00000000" w:rsidDel="00000000" w:rsidP="00000000" w:rsidRDefault="00000000" w:rsidRPr="00000000" w14:paraId="0000009C">
            <w:pPr>
              <w:spacing w:line="240" w:lineRule="auto"/>
              <w:jc w:val="center"/>
              <w:rPr>
                <w:sz w:val="24"/>
                <w:szCs w:val="24"/>
              </w:rPr>
            </w:pPr>
            <w:r w:rsidDel="00000000" w:rsidR="00000000" w:rsidRPr="00000000">
              <w:rPr>
                <w:sz w:val="24"/>
                <w:szCs w:val="24"/>
                <w:rtl w:val="0"/>
              </w:rPr>
              <w:t xml:space="preserve">(60 %)</w:t>
            </w:r>
          </w:p>
        </w:tc>
        <w:tc>
          <w:tcPr>
            <w:shd w:fill="ffffff" w:val="clear"/>
            <w:vAlign w:val="center"/>
          </w:tcPr>
          <w:p w:rsidR="00000000" w:rsidDel="00000000" w:rsidP="00000000" w:rsidRDefault="00000000" w:rsidRPr="00000000" w14:paraId="0000009D">
            <w:pPr>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E">
            <w:pPr>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9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0">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1">
            <w:pPr>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A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4">
            <w:pPr>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A5">
            <w:pPr>
              <w:rPr>
                <w:sz w:val="24"/>
                <w:szCs w:val="24"/>
              </w:rPr>
            </w:pPr>
            <w:r w:rsidDel="00000000" w:rsidR="00000000" w:rsidRPr="00000000">
              <w:rPr>
                <w:rtl w:val="0"/>
              </w:rPr>
            </w:r>
          </w:p>
        </w:tc>
        <w:tc>
          <w:tcPr>
            <w:shd w:fill="f7cbac" w:val="clear"/>
            <w:vAlign w:val="center"/>
          </w:tcPr>
          <w:p w:rsidR="00000000" w:rsidDel="00000000" w:rsidP="00000000" w:rsidRDefault="00000000" w:rsidRPr="00000000" w14:paraId="000000A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8">
            <w:pPr>
              <w:rPr>
                <w:sz w:val="24"/>
                <w:szCs w:val="24"/>
              </w:rPr>
            </w:pPr>
            <w:r w:rsidDel="00000000" w:rsidR="00000000" w:rsidRPr="00000000">
              <w:rPr>
                <w:rtl w:val="0"/>
              </w:rPr>
            </w:r>
          </w:p>
        </w:tc>
      </w:tr>
    </w:tbl>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3.jpg"/>
          <a:graphic>
            <a:graphicData uri="http://schemas.openxmlformats.org/drawingml/2006/picture">
              <pic:pic>
                <pic:nvPicPr>
                  <pic:cNvPr descr="C:\Users\Lenovo\Downloads\WhatsAppImage2022-01-12at12.53.47PM.jpeg" id="0" name="image3.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AD">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AE">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74" w:hanging="720"/>
      </w:pPr>
      <w:rPr/>
    </w:lvl>
    <w:lvl w:ilvl="1">
      <w:start w:val="1"/>
      <w:numFmt w:val="lowerLetter"/>
      <w:lvlText w:val="%2."/>
      <w:lvlJc w:val="left"/>
      <w:pPr>
        <w:ind w:left="1834" w:hanging="360"/>
      </w:pPr>
      <w:rPr/>
    </w:lvl>
    <w:lvl w:ilvl="2">
      <w:start w:val="1"/>
      <w:numFmt w:val="lowerRoman"/>
      <w:lvlText w:val="%3."/>
      <w:lvlJc w:val="right"/>
      <w:pPr>
        <w:ind w:left="2554" w:hanging="180"/>
      </w:pPr>
      <w:rPr/>
    </w:lvl>
    <w:lvl w:ilvl="3">
      <w:start w:val="1"/>
      <w:numFmt w:val="decimal"/>
      <w:lvlText w:val="%4."/>
      <w:lvlJc w:val="left"/>
      <w:pPr>
        <w:ind w:left="3274" w:hanging="360"/>
      </w:pPr>
      <w:rPr/>
    </w:lvl>
    <w:lvl w:ilvl="4">
      <w:start w:val="1"/>
      <w:numFmt w:val="lowerLetter"/>
      <w:lvlText w:val="%5."/>
      <w:lvlJc w:val="left"/>
      <w:pPr>
        <w:ind w:left="3994" w:hanging="360"/>
      </w:pPr>
      <w:rPr/>
    </w:lvl>
    <w:lvl w:ilvl="5">
      <w:start w:val="1"/>
      <w:numFmt w:val="lowerRoman"/>
      <w:lvlText w:val="%6."/>
      <w:lvlJc w:val="right"/>
      <w:pPr>
        <w:ind w:left="4714" w:hanging="180"/>
      </w:pPr>
      <w:rPr/>
    </w:lvl>
    <w:lvl w:ilvl="6">
      <w:start w:val="1"/>
      <w:numFmt w:val="decimal"/>
      <w:lvlText w:val="%7."/>
      <w:lvlJc w:val="left"/>
      <w:pPr>
        <w:ind w:left="5434" w:hanging="360"/>
      </w:pPr>
      <w:rPr/>
    </w:lvl>
    <w:lvl w:ilvl="7">
      <w:start w:val="1"/>
      <w:numFmt w:val="lowerLetter"/>
      <w:lvlText w:val="%8."/>
      <w:lvlJc w:val="left"/>
      <w:pPr>
        <w:ind w:left="6154" w:hanging="360"/>
      </w:pPr>
      <w:rPr/>
    </w:lvl>
    <w:lvl w:ilvl="8">
      <w:start w:val="1"/>
      <w:numFmt w:val="lowerRoman"/>
      <w:lvlText w:val="%9."/>
      <w:lvlJc w:val="right"/>
      <w:pPr>
        <w:ind w:left="6874" w:hanging="180"/>
      </w:pPr>
      <w:rPr/>
    </w:lvl>
  </w:abstractNum>
  <w:abstractNum w:abstractNumId="2">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Textodeglobo">
    <w:name w:val="Balloon Text"/>
    <w:basedOn w:val="Normal"/>
    <w:link w:val="TextodegloboCar"/>
    <w:uiPriority w:val="99"/>
    <w:semiHidden w:val="1"/>
    <w:unhideWhenUsed w:val="1"/>
    <w:rsid w:val="00F9558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95589"/>
    <w:rPr>
      <w:rFonts w:ascii="Segoe UI" w:cs="Segoe UI" w:hAnsi="Segoe UI"/>
      <w:sz w:val="18"/>
      <w:szCs w:val="18"/>
    </w:rPr>
  </w:style>
  <w:style w:type="paragraph" w:styleId="Sinespaciado">
    <w:name w:val="No Spacing"/>
    <w:uiPriority w:val="1"/>
    <w:qFormat w:val="1"/>
    <w:rsid w:val="00CC315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Q51zE+HN7VSwOKbU4IswC3GaQ==">AMUW2mU257zmN7E8FiD/g3txbyi/ZXaOh2uBfBJCr7/nTcm72/YIx29vrfXbPGxguUFTBuJWr07tHqS8MkWexSa8H0aXAxJpBL4DHzMmgxv73NPG5EhDAeu7QFCKyI5OFPoqmhLgc5eU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2022-02-02T20:38:00Z</dcterms:created>
  <dc:creator>Windows User</dc:creator>
</cp:coreProperties>
</file>