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3B" w:rsidRDefault="000229FA" w:rsidP="00D11E3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QUIN</w:t>
      </w:r>
      <w:r w:rsidR="00D11E3B">
        <w:rPr>
          <w:rFonts w:ascii="Arial" w:hAnsi="Arial" w:cs="Arial"/>
          <w:b/>
          <w:sz w:val="24"/>
          <w:szCs w:val="24"/>
          <w:lang w:val="es-ES"/>
        </w:rPr>
        <w:t>TA SESIÓN ORDINARIA DE LA COMISIÓN DE ORNATO.</w:t>
      </w:r>
    </w:p>
    <w:p w:rsidR="00D11E3B" w:rsidRDefault="00D11E3B" w:rsidP="00D11E3B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10:</w:t>
      </w:r>
      <w:r>
        <w:rPr>
          <w:rFonts w:ascii="Arial" w:hAnsi="Arial" w:cs="Arial"/>
          <w:color w:val="000000"/>
          <w:lang w:val="es-ES"/>
        </w:rPr>
        <w:t>00 (diez horas) del día lunes 28</w:t>
      </w:r>
      <w:r>
        <w:rPr>
          <w:rFonts w:ascii="Arial" w:hAnsi="Arial" w:cs="Arial"/>
          <w:color w:val="000000"/>
          <w:lang w:val="es-ES"/>
        </w:rPr>
        <w:t xml:space="preserve"> (</w:t>
      </w:r>
      <w:r>
        <w:rPr>
          <w:rFonts w:ascii="Arial" w:hAnsi="Arial" w:cs="Arial"/>
          <w:color w:val="000000"/>
          <w:lang w:val="es-ES"/>
        </w:rPr>
        <w:t>veinte ocho) de febrer</w:t>
      </w:r>
      <w:r>
        <w:rPr>
          <w:rFonts w:ascii="Arial" w:hAnsi="Arial" w:cs="Arial"/>
          <w:color w:val="000000"/>
          <w:lang w:val="es-ES"/>
        </w:rPr>
        <w:t xml:space="preserve">o del año 2022 (dos mil veintidós) y citados en la Sala del Ayuntamiento del Palacio Municipal de El Salto, Jalisco; </w:t>
      </w:r>
      <w:r>
        <w:rPr>
          <w:rFonts w:ascii="Arial" w:hAnsi="Arial" w:cs="Arial"/>
          <w:lang w:val="es-ES"/>
        </w:rPr>
        <w:t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</w:t>
      </w:r>
      <w:bookmarkStart w:id="0" w:name="_GoBack"/>
      <w:bookmarkEnd w:id="0"/>
      <w:r>
        <w:rPr>
          <w:rFonts w:ascii="Arial" w:hAnsi="Arial" w:cs="Arial"/>
          <w:lang w:val="es-ES"/>
        </w:rPr>
        <w:t>ilicias del Municipio de El Salto, Jalisco; y demás legislación aplicable; se citó a los miembros de la Comisión d</w:t>
      </w:r>
      <w:r>
        <w:rPr>
          <w:rFonts w:ascii="Arial" w:hAnsi="Arial" w:cs="Arial"/>
          <w:lang w:val="es-ES"/>
        </w:rPr>
        <w:t>e Ornato para celebrar su quinta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D11E3B" w:rsidRDefault="00D11E3B" w:rsidP="00D11E3B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D11E3B" w:rsidRDefault="00D11E3B" w:rsidP="00D11E3B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D11E3B" w:rsidRDefault="00D11E3B" w:rsidP="00D11E3B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D11E3B" w:rsidRDefault="00D11E3B" w:rsidP="00D11E3B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>ción del acta de la fecha del 31 treinta y uno</w:t>
      </w:r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enero del año 2022 dos mil veintidós</w:t>
      </w:r>
      <w:r>
        <w:rPr>
          <w:rFonts w:ascii="Arial" w:hAnsi="Arial" w:cs="Arial"/>
          <w:lang w:val="es-ES"/>
        </w:rPr>
        <w:t>.</w:t>
      </w:r>
    </w:p>
    <w:p w:rsidR="00D11E3B" w:rsidRDefault="00D11E3B" w:rsidP="00D11E3B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>
        <w:rPr>
          <w:rFonts w:ascii="Arial" w:hAnsi="Arial" w:cs="Arial"/>
          <w:lang w:val="es-ES"/>
        </w:rPr>
        <w:t xml:space="preserve">. </w:t>
      </w:r>
    </w:p>
    <w:p w:rsidR="00D11E3B" w:rsidRDefault="00D11E3B" w:rsidP="00D11E3B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D11E3B" w:rsidRDefault="00D11E3B" w:rsidP="00D11E3B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1"/>
    <w:p w:rsidR="00D11E3B" w:rsidRDefault="00D11E3B" w:rsidP="00D11E3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D11E3B" w:rsidRDefault="00D11E3B" w:rsidP="00D11E3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D11E3B" w:rsidRDefault="00D11E3B" w:rsidP="00D11E3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D11E3B" w:rsidTr="004106C9">
        <w:tc>
          <w:tcPr>
            <w:tcW w:w="528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D11E3B" w:rsidTr="004106C9">
        <w:tc>
          <w:tcPr>
            <w:tcW w:w="528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D11E3B" w:rsidRDefault="00D11E3B" w:rsidP="00410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11E3B" w:rsidTr="004106C9">
        <w:tc>
          <w:tcPr>
            <w:tcW w:w="528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D11E3B" w:rsidRDefault="00D11E3B" w:rsidP="004106C9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11E3B" w:rsidTr="004106C9">
        <w:tc>
          <w:tcPr>
            <w:tcW w:w="528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D11E3B" w:rsidRDefault="00D11E3B" w:rsidP="004106C9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Ausente</w:t>
            </w:r>
          </w:p>
        </w:tc>
      </w:tr>
      <w:tr w:rsidR="00D11E3B" w:rsidTr="004106C9">
        <w:tc>
          <w:tcPr>
            <w:tcW w:w="528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D11E3B" w:rsidRDefault="00D11E3B" w:rsidP="004106C9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Ausente</w:t>
            </w:r>
          </w:p>
        </w:tc>
      </w:tr>
      <w:tr w:rsidR="00D11E3B" w:rsidTr="004106C9">
        <w:tc>
          <w:tcPr>
            <w:tcW w:w="528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D11E3B" w:rsidRDefault="00D11E3B" w:rsidP="004106C9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11E3B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D11E3B" w:rsidRDefault="00D11E3B" w:rsidP="00D11E3B">
      <w:pPr>
        <w:jc w:val="both"/>
        <w:rPr>
          <w:rFonts w:ascii="Arial" w:hAnsi="Arial" w:cs="Arial"/>
          <w:lang w:val="es-ES"/>
        </w:rPr>
      </w:pPr>
    </w:p>
    <w:p w:rsidR="00D11E3B" w:rsidRPr="000110D5" w:rsidRDefault="00D11E3B" w:rsidP="00D11E3B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t xml:space="preserve">Secretario Técnico: </w:t>
      </w:r>
      <w:r w:rsidRPr="000110D5">
        <w:rPr>
          <w:rFonts w:ascii="Arial" w:hAnsi="Arial" w:cs="Arial"/>
          <w:bCs/>
          <w:lang w:val="es-ES"/>
        </w:rPr>
        <w:t>Presidente, doy cuenta que hay quórum legal toda v</w:t>
      </w:r>
      <w:r>
        <w:rPr>
          <w:rFonts w:ascii="Arial" w:hAnsi="Arial" w:cs="Arial"/>
          <w:bCs/>
          <w:lang w:val="es-ES"/>
        </w:rPr>
        <w:t>ez que se encuentran presentes 3</w:t>
      </w:r>
      <w:r w:rsidRPr="000110D5">
        <w:rPr>
          <w:rFonts w:ascii="Arial" w:hAnsi="Arial" w:cs="Arial"/>
          <w:bCs/>
          <w:lang w:val="es-ES"/>
        </w:rPr>
        <w:t xml:space="preserve"> de los miembros de la Comisión de </w:t>
      </w:r>
      <w:r>
        <w:rPr>
          <w:rFonts w:ascii="Arial" w:hAnsi="Arial" w:cs="Arial"/>
          <w:bCs/>
          <w:lang w:val="es-ES"/>
        </w:rPr>
        <w:t>Ornato</w:t>
      </w:r>
      <w:r w:rsidRPr="000110D5">
        <w:rPr>
          <w:rFonts w:ascii="Arial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D11E3B" w:rsidRPr="000110D5" w:rsidRDefault="00D11E3B" w:rsidP="00D11E3B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Cs/>
          <w:lang w:val="es-ES"/>
        </w:rPr>
        <w:t>Es cuanto, Presidente…</w:t>
      </w:r>
    </w:p>
    <w:p w:rsidR="00D11E3B" w:rsidRPr="000110D5" w:rsidRDefault="00D11E3B" w:rsidP="00D11E3B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t xml:space="preserve">Presidente: </w:t>
      </w:r>
      <w:r w:rsidRPr="000110D5"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hAnsi="Arial" w:cs="Arial"/>
          <w:bCs/>
          <w:color w:val="000000" w:themeColor="text1"/>
          <w:lang w:val="es-ES"/>
        </w:rPr>
        <w:t>10:02</w:t>
      </w:r>
      <w:r>
        <w:rPr>
          <w:rFonts w:ascii="Arial" w:hAnsi="Arial" w:cs="Arial"/>
          <w:bCs/>
          <w:color w:val="000000" w:themeColor="text1"/>
          <w:lang w:val="es-ES"/>
        </w:rPr>
        <w:t xml:space="preserve"> (diez 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hAnsi="Arial" w:cs="Arial"/>
          <w:bCs/>
          <w:color w:val="000000" w:themeColor="text1"/>
          <w:lang w:val="es-ES"/>
        </w:rPr>
        <w:t xml:space="preserve">dos </w:t>
      </w:r>
      <w:r>
        <w:rPr>
          <w:rFonts w:ascii="Arial" w:hAnsi="Arial" w:cs="Arial"/>
          <w:bCs/>
          <w:color w:val="000000" w:themeColor="text1"/>
          <w:lang w:val="es-ES"/>
        </w:rPr>
        <w:t xml:space="preserve">minutos) </w:t>
      </w:r>
      <w:r w:rsidRPr="00CE6100">
        <w:rPr>
          <w:rFonts w:ascii="Arial" w:hAnsi="Arial" w:cs="Arial"/>
          <w:bCs/>
          <w:color w:val="000000" w:themeColor="text1"/>
          <w:lang w:val="es-ES"/>
        </w:rPr>
        <w:t>del dí</w:t>
      </w:r>
      <w:r>
        <w:rPr>
          <w:rFonts w:ascii="Arial" w:hAnsi="Arial" w:cs="Arial"/>
          <w:bCs/>
          <w:color w:val="000000" w:themeColor="text1"/>
          <w:lang w:val="es-ES"/>
        </w:rPr>
        <w:t>a 28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veintiocho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>
        <w:rPr>
          <w:rFonts w:ascii="Arial" w:hAnsi="Arial" w:cs="Arial"/>
          <w:bCs/>
          <w:lang w:val="es-ES"/>
        </w:rPr>
        <w:t>febrero del 2022 (dos mil veintidós</w:t>
      </w:r>
      <w:r w:rsidRPr="000110D5">
        <w:rPr>
          <w:rFonts w:ascii="Arial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D11E3B" w:rsidRPr="000110D5" w:rsidRDefault="00D11E3B" w:rsidP="00D11E3B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lastRenderedPageBreak/>
        <w:t xml:space="preserve">Secretario Técnico: </w:t>
      </w:r>
      <w:r w:rsidRPr="000110D5">
        <w:rPr>
          <w:rFonts w:ascii="Arial" w:hAnsi="Arial" w:cs="Arial"/>
          <w:bCs/>
          <w:lang w:val="es-ES"/>
        </w:rPr>
        <w:t>Como indica, Presidente. Procedo a dar lectura…</w:t>
      </w:r>
    </w:p>
    <w:p w:rsidR="00D11E3B" w:rsidRPr="000110D5" w:rsidRDefault="00D11E3B" w:rsidP="00D11E3B">
      <w:pPr>
        <w:jc w:val="both"/>
        <w:rPr>
          <w:rFonts w:ascii="Arial" w:hAnsi="Arial" w:cs="Arial"/>
          <w:b/>
          <w:lang w:val="es-ES"/>
        </w:rPr>
      </w:pPr>
      <w:r w:rsidRPr="000110D5">
        <w:rPr>
          <w:rFonts w:ascii="Arial" w:hAnsi="Arial" w:cs="Arial"/>
          <w:b/>
          <w:lang w:val="es-ES"/>
        </w:rPr>
        <w:t>SEGUNDO. - Lectura y aprobación del orden del día.</w:t>
      </w:r>
    </w:p>
    <w:p w:rsidR="00D11E3B" w:rsidRDefault="00D11E3B" w:rsidP="00D11E3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D11E3B" w:rsidRDefault="00D11E3B" w:rsidP="00D11E3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D11E3B" w:rsidRDefault="00D11E3B" w:rsidP="00D11E3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D11E3B" w:rsidRDefault="00D11E3B" w:rsidP="00D11E3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 31 treinta y uno de enero del año 2022 dos mil veintidós.</w:t>
      </w:r>
    </w:p>
    <w:p w:rsidR="00D11E3B" w:rsidRDefault="00D11E3B" w:rsidP="00D11E3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D11E3B" w:rsidRDefault="00D11E3B" w:rsidP="00D11E3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D11E3B" w:rsidRDefault="00D11E3B" w:rsidP="00D11E3B">
      <w:pPr>
        <w:numPr>
          <w:ilvl w:val="0"/>
          <w:numId w:val="3"/>
        </w:numPr>
        <w:spacing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D11E3B" w:rsidRPr="000110D5" w:rsidRDefault="00D11E3B" w:rsidP="00D11E3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cuanto, Presidente…</w:t>
      </w:r>
    </w:p>
    <w:p w:rsidR="00D11E3B" w:rsidRPr="000110D5" w:rsidRDefault="00D11E3B" w:rsidP="00D11E3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Presidente: </w:t>
      </w:r>
      <w:r w:rsidRPr="000110D5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D11E3B" w:rsidRPr="000110D5" w:rsidRDefault="00D11E3B" w:rsidP="00D11E3B">
      <w:pPr>
        <w:jc w:val="both"/>
        <w:rPr>
          <w:rFonts w:ascii="Arial" w:hAnsi="Arial" w:cs="Arial"/>
          <w:b/>
          <w:bCs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>APROBADO.</w:t>
      </w:r>
    </w:p>
    <w:p w:rsidR="00D11E3B" w:rsidRPr="000110D5" w:rsidRDefault="00D11E3B" w:rsidP="00D11E3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Continúe con la sesión Secretario.</w:t>
      </w:r>
    </w:p>
    <w:p w:rsidR="00D11E3B" w:rsidRPr="000110D5" w:rsidRDefault="00D11E3B" w:rsidP="00D11E3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hAnsi="Arial" w:cs="Arial"/>
          <w:lang w:val="es-ES"/>
        </w:rPr>
        <w:t>Como instruye, Presidente…</w:t>
      </w:r>
    </w:p>
    <w:p w:rsidR="00D11E3B" w:rsidRDefault="00D11E3B" w:rsidP="00D11E3B">
      <w:pPr>
        <w:spacing w:after="0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>ción del acta de la fecha del 31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treinta y uno </w:t>
      </w:r>
      <w:r w:rsidR="002C1B14">
        <w:rPr>
          <w:rFonts w:ascii="Arial" w:hAnsi="Arial" w:cs="Arial"/>
          <w:lang w:val="es-ES"/>
        </w:rPr>
        <w:t>de enero del año 2022</w:t>
      </w:r>
      <w:r>
        <w:rPr>
          <w:rFonts w:ascii="Arial" w:hAnsi="Arial" w:cs="Arial"/>
          <w:lang w:val="es-ES"/>
        </w:rPr>
        <w:t xml:space="preserve"> do</w:t>
      </w:r>
      <w:r w:rsidR="002C1B14">
        <w:rPr>
          <w:rFonts w:ascii="Arial" w:hAnsi="Arial" w:cs="Arial"/>
          <w:lang w:val="es-ES"/>
        </w:rPr>
        <w:t>s mil veintidós</w:t>
      </w:r>
      <w:r>
        <w:rPr>
          <w:rFonts w:ascii="Arial" w:hAnsi="Arial" w:cs="Arial"/>
          <w:lang w:val="es-ES"/>
        </w:rPr>
        <w:t>.</w:t>
      </w:r>
    </w:p>
    <w:p w:rsidR="00D11E3B" w:rsidRDefault="00D11E3B" w:rsidP="00D11E3B">
      <w:pPr>
        <w:spacing w:after="0"/>
        <w:jc w:val="both"/>
        <w:rPr>
          <w:rFonts w:ascii="Arial" w:hAnsi="Arial" w:cs="Arial"/>
          <w:lang w:val="es-ES"/>
        </w:rPr>
      </w:pPr>
    </w:p>
    <w:p w:rsidR="00D11E3B" w:rsidRPr="005E624E" w:rsidRDefault="00D11E3B" w:rsidP="00D11E3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 xml:space="preserve">Es cuanto, </w:t>
      </w:r>
      <w:r w:rsidRPr="005E624E">
        <w:rPr>
          <w:rFonts w:ascii="Arial" w:hAnsi="Arial" w:cs="Arial"/>
          <w:lang w:val="es-ES"/>
        </w:rPr>
        <w:t>Presidente…</w:t>
      </w:r>
    </w:p>
    <w:p w:rsidR="00D11E3B" w:rsidRDefault="00D11E3B" w:rsidP="00D11E3B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 xml:space="preserve">Gracias Secretario. Compañeras y compañeros Regidores, en este acto solicito la </w:t>
      </w:r>
      <w:r>
        <w:rPr>
          <w:rFonts w:ascii="Arial" w:hAnsi="Arial" w:cs="Arial"/>
          <w:lang w:val="es-ES"/>
        </w:rPr>
        <w:t xml:space="preserve">aprobación y </w:t>
      </w:r>
      <w:r w:rsidRPr="005E624E">
        <w:rPr>
          <w:rFonts w:ascii="Arial" w:hAnsi="Arial" w:cs="Arial"/>
          <w:lang w:val="es-ES"/>
        </w:rPr>
        <w:t xml:space="preserve">dispensa de la lectura del Acta de </w:t>
      </w:r>
      <w:r w:rsidR="002C1B14">
        <w:rPr>
          <w:rFonts w:ascii="Arial" w:hAnsi="Arial" w:cs="Arial"/>
          <w:lang w:val="es-ES"/>
        </w:rPr>
        <w:t>fecha 31</w:t>
      </w:r>
      <w:r>
        <w:rPr>
          <w:rFonts w:ascii="Arial" w:hAnsi="Arial" w:cs="Arial"/>
          <w:lang w:val="es-ES"/>
        </w:rPr>
        <w:t xml:space="preserve"> </w:t>
      </w:r>
      <w:r w:rsidR="002C1B14">
        <w:rPr>
          <w:rFonts w:ascii="Arial" w:hAnsi="Arial" w:cs="Arial"/>
          <w:lang w:val="es-ES"/>
        </w:rPr>
        <w:t>treinta y uno de enero del año 2022 dos mil veintidós</w:t>
      </w:r>
      <w:r>
        <w:rPr>
          <w:rFonts w:ascii="Arial" w:hAnsi="Arial" w:cs="Arial"/>
          <w:lang w:val="es-ES"/>
        </w:rPr>
        <w:t xml:space="preserve"> </w:t>
      </w:r>
      <w:r w:rsidRPr="005E624E">
        <w:rPr>
          <w:rFonts w:ascii="Arial" w:hAnsi="Arial" w:cs="Arial"/>
          <w:lang w:val="es-ES"/>
        </w:rPr>
        <w:t>toda vez que se circuló de manera oportuna a cada uno de los presentes</w:t>
      </w:r>
      <w:r>
        <w:rPr>
          <w:rFonts w:ascii="Arial" w:hAnsi="Arial" w:cs="Arial"/>
          <w:lang w:val="es-ES"/>
        </w:rPr>
        <w:t>,</w:t>
      </w:r>
      <w:r w:rsidRPr="005E624E">
        <w:rPr>
          <w:rFonts w:ascii="Arial" w:hAnsi="Arial" w:cs="Arial"/>
          <w:lang w:val="es-ES"/>
        </w:rPr>
        <w:t xml:space="preserve"> por lo que en votación </w:t>
      </w:r>
      <w:r>
        <w:rPr>
          <w:rFonts w:ascii="Arial" w:hAnsi="Arial" w:cs="Arial"/>
          <w:lang w:val="es-ES"/>
        </w:rPr>
        <w:t>económica y levantando su mano les pregunto si es de aprobarse…</w:t>
      </w:r>
    </w:p>
    <w:p w:rsidR="00D11E3B" w:rsidRPr="00474935" w:rsidRDefault="00D11E3B" w:rsidP="00D11E3B">
      <w:pPr>
        <w:jc w:val="both"/>
        <w:rPr>
          <w:rFonts w:ascii="Arial" w:hAnsi="Arial" w:cs="Arial"/>
          <w:b/>
          <w:lang w:val="es-ES"/>
        </w:rPr>
      </w:pPr>
      <w:r w:rsidRPr="00474935">
        <w:rPr>
          <w:rFonts w:ascii="Arial" w:hAnsi="Arial" w:cs="Arial"/>
          <w:b/>
          <w:lang w:val="es-ES"/>
        </w:rPr>
        <w:t>APROBADO.</w:t>
      </w:r>
    </w:p>
    <w:p w:rsidR="00D11E3B" w:rsidRDefault="00D11E3B" w:rsidP="00D11E3B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D11E3B" w:rsidRPr="005E624E" w:rsidRDefault="00D11E3B" w:rsidP="00D11E3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D11E3B" w:rsidRPr="002C1B14" w:rsidRDefault="002C1B14" w:rsidP="00D11E3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2C1B14" w:rsidRPr="000110D5" w:rsidRDefault="002C1B14" w:rsidP="00D11E3B">
      <w:pPr>
        <w:spacing w:after="0"/>
        <w:jc w:val="both"/>
        <w:rPr>
          <w:rFonts w:ascii="Arial" w:hAnsi="Arial" w:cs="Arial"/>
          <w:lang w:val="es-ES"/>
        </w:rPr>
      </w:pPr>
    </w:p>
    <w:p w:rsidR="00D11E3B" w:rsidRDefault="00D11E3B" w:rsidP="00D11E3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 Presidente…</w:t>
      </w:r>
    </w:p>
    <w:p w:rsidR="002C1B14" w:rsidRDefault="00D11E3B" w:rsidP="002C1B14">
      <w:pPr>
        <w:jc w:val="both"/>
        <w:rPr>
          <w:rFonts w:ascii="Arial" w:hAnsi="Arial" w:cs="Arial"/>
          <w:color w:val="000000" w:themeColor="text1"/>
          <w:lang w:val="es-ES"/>
        </w:rPr>
      </w:pPr>
      <w:r w:rsidRPr="00CF6960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 w:rsidRPr="00111C99">
        <w:rPr>
          <w:rFonts w:ascii="Arial" w:hAnsi="Arial" w:cs="Arial"/>
          <w:color w:val="000000" w:themeColor="text1"/>
          <w:lang w:val="es-ES"/>
        </w:rPr>
        <w:t xml:space="preserve">Gracias Secretario. En este momento, </w:t>
      </w:r>
      <w:r w:rsidR="002C1B14">
        <w:rPr>
          <w:rFonts w:ascii="Arial" w:hAnsi="Arial" w:cs="Arial"/>
          <w:color w:val="000000" w:themeColor="text1"/>
          <w:lang w:val="es-ES"/>
        </w:rPr>
        <w:t>les informo compañeros vocales de esta comisión edilicia permanente que no se agendaron dictámenes para aprobar en esta sesión</w:t>
      </w:r>
    </w:p>
    <w:p w:rsidR="00D11E3B" w:rsidRDefault="00D11E3B" w:rsidP="00D11E3B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D11E3B" w:rsidRPr="000B0040" w:rsidRDefault="00D11E3B" w:rsidP="00D11E3B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D11E3B" w:rsidRDefault="00D11E3B" w:rsidP="00D11E3B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D11E3B" w:rsidRDefault="00D11E3B" w:rsidP="00D11E3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D11E3B" w:rsidRDefault="00D11E3B" w:rsidP="00D11E3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D11E3B" w:rsidRDefault="00D11E3B" w:rsidP="00D11E3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D11E3B" w:rsidRPr="004A65E5" w:rsidRDefault="00D11E3B" w:rsidP="00D11E3B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D11E3B" w:rsidRPr="004A65E5" w:rsidRDefault="00D11E3B" w:rsidP="00D11E3B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D11E3B" w:rsidRPr="005E624E" w:rsidRDefault="00D11E3B" w:rsidP="00D11E3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D11E3B" w:rsidRPr="000110D5" w:rsidRDefault="00D11E3B" w:rsidP="00D11E3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</w:t>
      </w:r>
      <w:r w:rsidRPr="000110D5">
        <w:rPr>
          <w:rFonts w:ascii="Arial" w:hAnsi="Arial" w:cs="Arial"/>
          <w:b/>
          <w:bCs/>
          <w:lang w:val="es-ES"/>
        </w:rPr>
        <w:t>. - Clausura.</w:t>
      </w:r>
    </w:p>
    <w:p w:rsidR="00D11E3B" w:rsidRPr="000110D5" w:rsidRDefault="00D11E3B" w:rsidP="00D11E3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 Presidente…</w:t>
      </w:r>
    </w:p>
    <w:p w:rsidR="00D11E3B" w:rsidRPr="000110D5" w:rsidRDefault="00D11E3B" w:rsidP="00D11E3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lang w:val="es-ES"/>
        </w:rPr>
        <w:t>Presidente</w:t>
      </w:r>
      <w:r w:rsidRPr="000110D5"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10:07 diez horas con siete</w:t>
      </w:r>
      <w:r w:rsidRPr="00CE6100">
        <w:rPr>
          <w:rFonts w:ascii="Arial" w:hAnsi="Arial" w:cs="Arial"/>
          <w:color w:val="000000" w:themeColor="text1"/>
          <w:lang w:val="es-ES"/>
        </w:rPr>
        <w:t xml:space="preserve"> minuto</w:t>
      </w:r>
      <w:r w:rsidR="002C1B14">
        <w:rPr>
          <w:rFonts w:ascii="Arial" w:hAnsi="Arial" w:cs="Arial"/>
          <w:color w:val="000000" w:themeColor="text1"/>
          <w:lang w:val="es-ES"/>
        </w:rPr>
        <w:t>s, del día 28</w:t>
      </w:r>
      <w:r w:rsidRPr="00CE6100">
        <w:rPr>
          <w:rFonts w:ascii="Arial" w:hAnsi="Arial" w:cs="Arial"/>
          <w:color w:val="000000" w:themeColor="text1"/>
          <w:lang w:val="es-ES"/>
        </w:rPr>
        <w:t xml:space="preserve"> (</w:t>
      </w:r>
      <w:r w:rsidR="002C1B14">
        <w:rPr>
          <w:rFonts w:ascii="Arial" w:hAnsi="Arial" w:cs="Arial"/>
          <w:color w:val="000000" w:themeColor="text1"/>
          <w:lang w:val="es-ES"/>
        </w:rPr>
        <w:t>veintiocho</w:t>
      </w:r>
      <w:r>
        <w:rPr>
          <w:rFonts w:ascii="Arial" w:hAnsi="Arial" w:cs="Arial"/>
          <w:color w:val="000000" w:themeColor="text1"/>
          <w:lang w:val="es-ES"/>
        </w:rPr>
        <w:t xml:space="preserve">) de </w:t>
      </w:r>
      <w:r w:rsidR="002C1B14">
        <w:rPr>
          <w:rFonts w:ascii="Arial" w:hAnsi="Arial" w:cs="Arial"/>
          <w:color w:val="000000" w:themeColor="text1"/>
          <w:lang w:val="es-ES"/>
        </w:rPr>
        <w:t>febrero del 2022</w:t>
      </w:r>
      <w:r w:rsidRPr="00CE6100">
        <w:rPr>
          <w:rFonts w:ascii="Arial" w:hAnsi="Arial" w:cs="Arial"/>
          <w:color w:val="000000" w:themeColor="text1"/>
          <w:lang w:val="es-ES"/>
        </w:rPr>
        <w:t xml:space="preserve"> (</w:t>
      </w:r>
      <w:r>
        <w:rPr>
          <w:rFonts w:ascii="Arial" w:hAnsi="Arial" w:cs="Arial"/>
          <w:color w:val="000000" w:themeColor="text1"/>
          <w:lang w:val="es-ES"/>
        </w:rPr>
        <w:t xml:space="preserve">dos mil </w:t>
      </w:r>
      <w:r w:rsidR="002C1B14">
        <w:rPr>
          <w:rFonts w:ascii="Arial" w:hAnsi="Arial" w:cs="Arial"/>
          <w:color w:val="000000" w:themeColor="text1"/>
          <w:lang w:val="es-ES"/>
        </w:rPr>
        <w:t>veintidós</w:t>
      </w:r>
      <w:r w:rsidRPr="00CE6100">
        <w:rPr>
          <w:rFonts w:ascii="Arial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hAnsi="Arial" w:cs="Arial"/>
          <w:lang w:val="es-ES"/>
        </w:rPr>
        <w:t>agradeciendo la asistencia de los presentes a la misma</w:t>
      </w:r>
      <w:r>
        <w:rPr>
          <w:rFonts w:ascii="Arial" w:hAnsi="Arial" w:cs="Arial"/>
          <w:lang w:val="es-ES"/>
        </w:rPr>
        <w:t>, queda clausurada esta sesión y se cita de manera oportuna a la siguiente.</w:t>
      </w:r>
    </w:p>
    <w:p w:rsidR="00D11E3B" w:rsidRPr="000110D5" w:rsidRDefault="00D11E3B" w:rsidP="00D11E3B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D11E3B" w:rsidRPr="000110D5" w:rsidRDefault="00D11E3B" w:rsidP="00D11E3B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>ATENTAMENTE</w:t>
      </w:r>
    </w:p>
    <w:p w:rsidR="00D11E3B" w:rsidRPr="000110D5" w:rsidRDefault="002C1B14" w:rsidP="00D11E3B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“2022</w:t>
      </w:r>
      <w:r w:rsidR="00D11E3B">
        <w:rPr>
          <w:rFonts w:ascii="Arial" w:hAnsi="Arial" w:cs="Arial"/>
          <w:b/>
          <w:bCs/>
          <w:lang w:val="es-ES"/>
        </w:rPr>
        <w:t xml:space="preserve"> AÑO DE</w:t>
      </w:r>
      <w:r>
        <w:rPr>
          <w:rFonts w:ascii="Arial" w:hAnsi="Arial" w:cs="Arial"/>
          <w:b/>
          <w:bCs/>
          <w:lang w:val="es-ES"/>
        </w:rPr>
        <w:t xml:space="preserve"> RICARDO FLORES MAGÓN</w:t>
      </w:r>
      <w:r w:rsidR="00D11E3B">
        <w:rPr>
          <w:rFonts w:ascii="Arial" w:hAnsi="Arial" w:cs="Arial"/>
          <w:b/>
          <w:bCs/>
          <w:lang w:val="es-ES"/>
        </w:rPr>
        <w:t>.</w:t>
      </w:r>
      <w:r w:rsidR="00D11E3B" w:rsidRPr="000110D5">
        <w:rPr>
          <w:rFonts w:ascii="Arial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D11E3B" w:rsidRPr="000110D5" w:rsidTr="004106C9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D11E3B" w:rsidRDefault="00D11E3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1E3B" w:rsidRPr="00B762C9" w:rsidRDefault="00D11E3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</w:t>
            </w: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. Adrián Alejandro Flores Vélez</w:t>
            </w:r>
          </w:p>
          <w:p w:rsidR="00D11E3B" w:rsidRPr="00B762C9" w:rsidRDefault="00D11E3B" w:rsidP="004106C9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D11E3B" w:rsidRDefault="00D11E3B" w:rsidP="004106C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1E3B" w:rsidRPr="00B762C9" w:rsidRDefault="00D11E3B" w:rsidP="004106C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11E3B" w:rsidRPr="000110D5" w:rsidTr="004106C9">
        <w:trPr>
          <w:trHeight w:val="241"/>
        </w:trPr>
        <w:tc>
          <w:tcPr>
            <w:tcW w:w="3756" w:type="dxa"/>
            <w:noWrap/>
            <w:vAlign w:val="bottom"/>
          </w:tcPr>
          <w:p w:rsidR="00D11E3B" w:rsidRPr="00B762C9" w:rsidRDefault="00D11E3B" w:rsidP="004106C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</w:t>
            </w:r>
            <w:r>
              <w:rPr>
                <w:rFonts w:ascii="Arial" w:hAnsi="Arial" w:cs="Arial"/>
                <w:lang w:val="es-ES"/>
              </w:rPr>
              <w:t>Martha Leticia Salazar Contreras</w:t>
            </w:r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D11E3B" w:rsidRPr="00B762C9" w:rsidRDefault="00D11E3B" w:rsidP="004106C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D11E3B" w:rsidRPr="00B762C9" w:rsidRDefault="00D11E3B" w:rsidP="004106C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D11E3B" w:rsidRPr="00B762C9" w:rsidRDefault="00D11E3B" w:rsidP="004106C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D11E3B" w:rsidRPr="000110D5" w:rsidTr="004106C9">
        <w:trPr>
          <w:trHeight w:val="241"/>
        </w:trPr>
        <w:tc>
          <w:tcPr>
            <w:tcW w:w="3756" w:type="dxa"/>
            <w:vAlign w:val="bottom"/>
            <w:hideMark/>
          </w:tcPr>
          <w:p w:rsidR="00D11E3B" w:rsidRPr="00B762C9" w:rsidRDefault="00D11E3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1E3B" w:rsidRPr="00B762C9" w:rsidRDefault="00D11E3B" w:rsidP="004106C9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1E3B" w:rsidRPr="00B762C9" w:rsidRDefault="00D11E3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1E3B" w:rsidRPr="00B762C9" w:rsidRDefault="00D11E3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1E3B" w:rsidRDefault="00D11E3B" w:rsidP="004106C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D11E3B" w:rsidRDefault="00D11E3B" w:rsidP="004106C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Adrián Guadalupe Flores </w:t>
            </w:r>
            <w:r>
              <w:rPr>
                <w:rFonts w:ascii="Arial" w:hAnsi="Arial" w:cs="Arial"/>
                <w:lang w:val="es-ES"/>
              </w:rPr>
              <w:t>Gutiérrez</w:t>
            </w:r>
          </w:p>
          <w:p w:rsidR="00D11E3B" w:rsidRPr="00B762C9" w:rsidRDefault="00D11E3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D11E3B" w:rsidRPr="00B762C9" w:rsidRDefault="00D11E3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1E3B" w:rsidRPr="00B762C9" w:rsidRDefault="00D11E3B" w:rsidP="004106C9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</w:t>
            </w:r>
            <w:r>
              <w:rPr>
                <w:rFonts w:ascii="Arial" w:hAnsi="Arial" w:cs="Arial"/>
                <w:lang w:val="es-ES"/>
              </w:rPr>
              <w:t>Dávila</w:t>
            </w:r>
          </w:p>
          <w:p w:rsidR="00D11E3B" w:rsidRPr="00B762C9" w:rsidRDefault="00D11E3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D11E3B" w:rsidRDefault="00D11E3B" w:rsidP="00D11E3B"/>
    <w:p w:rsidR="00D11E3B" w:rsidRDefault="00D11E3B" w:rsidP="00D11E3B"/>
    <w:p w:rsidR="00D11E3B" w:rsidRDefault="00D11E3B" w:rsidP="00D11E3B"/>
    <w:p w:rsidR="00D11E3B" w:rsidRDefault="00D11E3B" w:rsidP="00D11E3B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sectPr w:rsidR="00D11E3B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3B" w:rsidRDefault="00D11E3B" w:rsidP="00D11E3B">
      <w:pPr>
        <w:spacing w:after="0" w:line="240" w:lineRule="auto"/>
      </w:pPr>
      <w:r>
        <w:separator/>
      </w:r>
    </w:p>
  </w:endnote>
  <w:endnote w:type="continuationSeparator" w:id="0">
    <w:p w:rsidR="00D11E3B" w:rsidRDefault="00D11E3B" w:rsidP="00D1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7E" w:rsidRDefault="000229F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>
      <w:rPr>
        <w:rFonts w:ascii="Arial" w:hAnsi="Arial" w:cs="Arial"/>
        <w:color w:val="8496B0"/>
        <w:sz w:val="16"/>
        <w:szCs w:val="16"/>
        <w:lang w:val="es-ES"/>
      </w:rPr>
      <w:t xml:space="preserve"> </w:t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>PAGE   \* MERGEFORMAT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Pr="000229FA">
      <w:rPr>
        <w:rFonts w:ascii="Arial" w:hAnsi="Arial" w:cs="Arial"/>
        <w:noProof/>
        <w:color w:val="323E4F"/>
        <w:sz w:val="16"/>
        <w:szCs w:val="16"/>
        <w:lang w:val="es-ES"/>
      </w:rPr>
      <w:t>1</w:t>
    </w:r>
    <w:r>
      <w:rPr>
        <w:rFonts w:ascii="Arial" w:hAnsi="Arial" w:cs="Arial"/>
        <w:color w:val="323E4F"/>
        <w:sz w:val="16"/>
        <w:szCs w:val="16"/>
      </w:rPr>
      <w:fldChar w:fldCharType="end"/>
    </w:r>
    <w:r>
      <w:rPr>
        <w:rFonts w:ascii="Arial" w:hAnsi="Arial" w:cs="Arial"/>
        <w:color w:val="323E4F"/>
        <w:sz w:val="16"/>
        <w:szCs w:val="16"/>
        <w:lang w:val="es-ES"/>
      </w:rPr>
      <w:t xml:space="preserve"> | </w:t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>NUMPAGES  \* Arabic  \* MERGEFORMAT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Pr="000229FA">
      <w:rPr>
        <w:rFonts w:ascii="Arial" w:hAnsi="Arial" w:cs="Arial"/>
        <w:noProof/>
        <w:color w:val="323E4F"/>
        <w:sz w:val="16"/>
        <w:szCs w:val="16"/>
        <w:lang w:val="es-ES"/>
      </w:rPr>
      <w:t>3</w:t>
    </w:r>
    <w:r>
      <w:rPr>
        <w:rFonts w:ascii="Arial" w:hAnsi="Arial" w:cs="Arial"/>
        <w:color w:val="323E4F"/>
        <w:sz w:val="16"/>
        <w:szCs w:val="16"/>
      </w:rPr>
      <w:fldChar w:fldCharType="end"/>
    </w:r>
  </w:p>
  <w:p w:rsidR="0062147E" w:rsidRDefault="000229FA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 </w:t>
    </w:r>
    <w:r>
      <w:rPr>
        <w:rFonts w:ascii="Arial" w:hAnsi="Arial" w:cs="Arial"/>
        <w:sz w:val="16"/>
        <w:szCs w:val="16"/>
      </w:rPr>
      <w:t>presente hoja forma parte del Ac</w:t>
    </w:r>
    <w:r w:rsidR="00D11E3B">
      <w:rPr>
        <w:rFonts w:ascii="Arial" w:hAnsi="Arial" w:cs="Arial"/>
        <w:color w:val="000000"/>
        <w:sz w:val="16"/>
        <w:szCs w:val="16"/>
      </w:rPr>
      <w:t>ta de la quin</w:t>
    </w:r>
    <w:r>
      <w:rPr>
        <w:rFonts w:ascii="Arial" w:hAnsi="Arial" w:cs="Arial"/>
        <w:color w:val="000000"/>
        <w:sz w:val="16"/>
        <w:szCs w:val="16"/>
      </w:rPr>
      <w:t>ta Sesión Ordinaria de la Comisi</w:t>
    </w:r>
    <w:r w:rsidR="00D11E3B">
      <w:rPr>
        <w:rFonts w:ascii="Arial" w:hAnsi="Arial" w:cs="Arial"/>
        <w:color w:val="000000"/>
        <w:sz w:val="16"/>
        <w:szCs w:val="16"/>
      </w:rPr>
      <w:t>ón de Ornato celebrada el día 28</w:t>
    </w:r>
    <w:r>
      <w:rPr>
        <w:rFonts w:ascii="Arial" w:hAnsi="Arial" w:cs="Arial"/>
        <w:color w:val="000000"/>
        <w:sz w:val="16"/>
        <w:szCs w:val="16"/>
      </w:rPr>
      <w:t xml:space="preserve"> de </w:t>
    </w:r>
    <w:r w:rsidR="00D11E3B">
      <w:rPr>
        <w:rFonts w:ascii="Arial" w:hAnsi="Arial" w:cs="Arial"/>
        <w:color w:val="000000"/>
        <w:sz w:val="16"/>
        <w:szCs w:val="16"/>
      </w:rPr>
      <w:t xml:space="preserve">febrero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3B" w:rsidRDefault="00D11E3B" w:rsidP="00D11E3B">
      <w:pPr>
        <w:spacing w:after="0" w:line="240" w:lineRule="auto"/>
      </w:pPr>
      <w:r>
        <w:separator/>
      </w:r>
    </w:p>
  </w:footnote>
  <w:footnote w:type="continuationSeparator" w:id="0">
    <w:p w:rsidR="00D11E3B" w:rsidRDefault="00D11E3B" w:rsidP="00D1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210B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3B"/>
    <w:rsid w:val="000229FA"/>
    <w:rsid w:val="002C1B14"/>
    <w:rsid w:val="005D03CD"/>
    <w:rsid w:val="00D1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D230"/>
  <w15:chartTrackingRefBased/>
  <w15:docId w15:val="{BA2EB88B-3029-453D-8DD8-3EF908A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B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11E3B"/>
    <w:pPr>
      <w:tabs>
        <w:tab w:val="center" w:pos="4419"/>
        <w:tab w:val="right" w:pos="8838"/>
      </w:tabs>
      <w:spacing w:after="0" w:line="240" w:lineRule="auto"/>
    </w:pPr>
    <w:rPr>
      <w:rFonts w:cs="SimSu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E3B"/>
    <w:rPr>
      <w:rFonts w:ascii="Calibri" w:eastAsia="Calibri" w:hAnsi="Calibri" w:cs="SimSun"/>
    </w:rPr>
  </w:style>
  <w:style w:type="paragraph" w:styleId="Encabezado">
    <w:name w:val="header"/>
    <w:basedOn w:val="Normal"/>
    <w:link w:val="EncabezadoCar"/>
    <w:uiPriority w:val="99"/>
    <w:unhideWhenUsed/>
    <w:rsid w:val="00D11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E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2022-03-02T17:14:00Z</dcterms:created>
  <dcterms:modified xsi:type="dcterms:W3CDTF">2022-03-02T17:40:00Z</dcterms:modified>
</cp:coreProperties>
</file>