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42" w:rsidRDefault="00173442" w:rsidP="00173442">
      <w:pPr>
        <w:jc w:val="center"/>
        <w:rPr>
          <w:b/>
          <w:sz w:val="28"/>
          <w:szCs w:val="28"/>
        </w:rPr>
      </w:pPr>
    </w:p>
    <w:p w:rsidR="00F50D13" w:rsidRDefault="00173442" w:rsidP="001734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659765</wp:posOffset>
            </wp:positionV>
            <wp:extent cx="6250305" cy="6638925"/>
            <wp:effectExtent l="0" t="0" r="17145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DIRECCIÓN DE CATASTRO</w:t>
      </w:r>
    </w:p>
    <w:p w:rsidR="00173442" w:rsidRDefault="00173442" w:rsidP="00F50D13">
      <w:pPr>
        <w:jc w:val="center"/>
        <w:rPr>
          <w:b/>
          <w:sz w:val="28"/>
          <w:szCs w:val="28"/>
        </w:rPr>
      </w:pPr>
    </w:p>
    <w:p w:rsidR="008F4F77" w:rsidRDefault="008F4F77" w:rsidP="008F4F77">
      <w:pPr>
        <w:jc w:val="center"/>
        <w:rPr>
          <w:b/>
          <w:sz w:val="28"/>
          <w:szCs w:val="28"/>
        </w:rPr>
      </w:pPr>
    </w:p>
    <w:p w:rsidR="00E67846" w:rsidRDefault="008F4F77" w:rsidP="008F4F77">
      <w:pPr>
        <w:jc w:val="center"/>
        <w:rPr>
          <w:b/>
          <w:sz w:val="28"/>
          <w:szCs w:val="28"/>
        </w:rPr>
      </w:pPr>
      <w:r>
        <w:rPr>
          <w:noProof/>
          <w:sz w:val="24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762000</wp:posOffset>
            </wp:positionV>
            <wp:extent cx="5924550" cy="4038600"/>
            <wp:effectExtent l="0" t="0" r="0" b="0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JEFATURA DE APREMIOS </w:t>
      </w:r>
    </w:p>
    <w:p w:rsidR="008F4F77" w:rsidRDefault="008F4F77" w:rsidP="008F4F77">
      <w:pPr>
        <w:jc w:val="center"/>
        <w:rPr>
          <w:b/>
          <w:sz w:val="28"/>
          <w:szCs w:val="28"/>
        </w:rPr>
      </w:pPr>
    </w:p>
    <w:p w:rsidR="008F4F77" w:rsidRPr="00E67846" w:rsidRDefault="008F4F77" w:rsidP="008F4F7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F4F77" w:rsidRPr="00E678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A3" w:rsidRDefault="00CF1BA3" w:rsidP="00F50D13">
      <w:pPr>
        <w:spacing w:after="0" w:line="240" w:lineRule="auto"/>
      </w:pPr>
      <w:r>
        <w:separator/>
      </w:r>
    </w:p>
  </w:endnote>
  <w:endnote w:type="continuationSeparator" w:id="0">
    <w:p w:rsidR="00CF1BA3" w:rsidRDefault="00CF1BA3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A3" w:rsidRDefault="00CF1BA3" w:rsidP="00F50D13">
      <w:pPr>
        <w:spacing w:after="0" w:line="240" w:lineRule="auto"/>
      </w:pPr>
      <w:r>
        <w:separator/>
      </w:r>
    </w:p>
  </w:footnote>
  <w:footnote w:type="continuationSeparator" w:id="0">
    <w:p w:rsidR="00CF1BA3" w:rsidRDefault="00CF1BA3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73442"/>
    <w:rsid w:val="001D0706"/>
    <w:rsid w:val="00206C17"/>
    <w:rsid w:val="00210C80"/>
    <w:rsid w:val="0022208E"/>
    <w:rsid w:val="0023369A"/>
    <w:rsid w:val="00274D0F"/>
    <w:rsid w:val="002A42AB"/>
    <w:rsid w:val="002B2452"/>
    <w:rsid w:val="00311802"/>
    <w:rsid w:val="00341B92"/>
    <w:rsid w:val="003E302D"/>
    <w:rsid w:val="00526AF0"/>
    <w:rsid w:val="00563BEF"/>
    <w:rsid w:val="005767D4"/>
    <w:rsid w:val="00617C85"/>
    <w:rsid w:val="0074757B"/>
    <w:rsid w:val="007B7E1E"/>
    <w:rsid w:val="007C16AA"/>
    <w:rsid w:val="007E5A4A"/>
    <w:rsid w:val="008F4F77"/>
    <w:rsid w:val="00911BBD"/>
    <w:rsid w:val="00943615"/>
    <w:rsid w:val="009E3760"/>
    <w:rsid w:val="00A02406"/>
    <w:rsid w:val="00A23952"/>
    <w:rsid w:val="00AC51E8"/>
    <w:rsid w:val="00B51723"/>
    <w:rsid w:val="00B73C83"/>
    <w:rsid w:val="00BF5B62"/>
    <w:rsid w:val="00C03400"/>
    <w:rsid w:val="00C30236"/>
    <w:rsid w:val="00C37276"/>
    <w:rsid w:val="00CA5A32"/>
    <w:rsid w:val="00CF1BA3"/>
    <w:rsid w:val="00D44F45"/>
    <w:rsid w:val="00E077EE"/>
    <w:rsid w:val="00E67846"/>
    <w:rsid w:val="00E84FBD"/>
    <w:rsid w:val="00E87C51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ESTADÍSTICAS OCTUBRE, NOVIEMBRE Y DICIEMBRE 2020</a:t>
            </a:r>
            <a:endParaRPr lang="es-MX" sz="11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layout>
        <c:manualLayout>
          <c:xMode val="edge"/>
          <c:yMode val="edge"/>
          <c:x val="0.16632404338668272"/>
          <c:y val="2.06185489367631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50</c:v>
                </c:pt>
                <c:pt idx="1">
                  <c:v>37</c:v>
                </c:pt>
                <c:pt idx="2">
                  <c:v>429</c:v>
                </c:pt>
                <c:pt idx="3">
                  <c:v>19</c:v>
                </c:pt>
                <c:pt idx="4">
                  <c:v>4</c:v>
                </c:pt>
                <c:pt idx="5">
                  <c:v>551</c:v>
                </c:pt>
                <c:pt idx="6">
                  <c:v>30</c:v>
                </c:pt>
                <c:pt idx="7">
                  <c:v>5</c:v>
                </c:pt>
                <c:pt idx="8">
                  <c:v>540</c:v>
                </c:pt>
                <c:pt idx="9">
                  <c:v>50</c:v>
                </c:pt>
                <c:pt idx="10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E-41BF-95A7-45988DC4A0D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24</c:v>
                </c:pt>
                <c:pt idx="1">
                  <c:v>22</c:v>
                </c:pt>
                <c:pt idx="2">
                  <c:v>209</c:v>
                </c:pt>
                <c:pt idx="3">
                  <c:v>18</c:v>
                </c:pt>
                <c:pt idx="4">
                  <c:v>2</c:v>
                </c:pt>
                <c:pt idx="5">
                  <c:v>231</c:v>
                </c:pt>
                <c:pt idx="6">
                  <c:v>30</c:v>
                </c:pt>
                <c:pt idx="7">
                  <c:v>0</c:v>
                </c:pt>
                <c:pt idx="8">
                  <c:v>581</c:v>
                </c:pt>
                <c:pt idx="9">
                  <c:v>26</c:v>
                </c:pt>
                <c:pt idx="10">
                  <c:v>345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E-41BF-95A7-45988DC4A0D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12</c:v>
                </c:pt>
                <c:pt idx="1">
                  <c:v>9</c:v>
                </c:pt>
                <c:pt idx="2">
                  <c:v>541</c:v>
                </c:pt>
                <c:pt idx="3">
                  <c:v>17</c:v>
                </c:pt>
                <c:pt idx="4">
                  <c:v>2</c:v>
                </c:pt>
                <c:pt idx="5">
                  <c:v>298</c:v>
                </c:pt>
                <c:pt idx="6">
                  <c:v>33</c:v>
                </c:pt>
                <c:pt idx="7">
                  <c:v>4</c:v>
                </c:pt>
                <c:pt idx="8">
                  <c:v>441</c:v>
                </c:pt>
                <c:pt idx="9">
                  <c:v>22</c:v>
                </c:pt>
                <c:pt idx="10">
                  <c:v>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DE-41BF-95A7-45988DC4A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352520176"/>
        <c:axId val="-352522352"/>
      </c:barChart>
      <c:catAx>
        <c:axId val="-352520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2522352"/>
        <c:crosses val="autoZero"/>
        <c:auto val="1"/>
        <c:lblAlgn val="ctr"/>
        <c:lblOffset val="100"/>
        <c:noMultiLvlLbl val="0"/>
      </c:catAx>
      <c:valAx>
        <c:axId val="-35252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252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770576155725344"/>
          <c:y val="6.4454756345434738E-2"/>
          <c:w val="0.39418687886001563"/>
          <c:h val="3.5422162280092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ESTADÍSTICAS OCTUBRE, NOVIEMBRE Y DICIEMBRE 2020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INFRACCIONES</a:t>
            </a:r>
            <a:r>
              <a:rPr lang="es-MX" sz="1400" baseline="0"/>
              <a:t> NOTIFICADAS </a:t>
            </a:r>
            <a:endParaRPr lang="es-MX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Año 2019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OCTUBRE </c:v>
                </c:pt>
                <c:pt idx="1">
                  <c:v>NOVIEMBRE 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0A-4116-9903-78068644385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Año 2020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OCTUBRE </c:v>
                </c:pt>
                <c:pt idx="1">
                  <c:v>NOVIEMBRE </c:v>
                </c:pt>
                <c:pt idx="2">
                  <c:v>DICIEMBRE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0A-4116-9903-780686443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61228896"/>
        <c:axId val="-233732320"/>
        <c:axId val="0"/>
      </c:bar3DChart>
      <c:catAx>
        <c:axId val="-36122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33732320"/>
        <c:crosses val="autoZero"/>
        <c:auto val="1"/>
        <c:lblAlgn val="ctr"/>
        <c:lblOffset val="100"/>
        <c:noMultiLvlLbl val="0"/>
      </c:catAx>
      <c:valAx>
        <c:axId val="-2337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6122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2019-08-09T15:46:00Z</dcterms:created>
  <dcterms:modified xsi:type="dcterms:W3CDTF">2021-01-22T16:53:00Z</dcterms:modified>
</cp:coreProperties>
</file>