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E" w:rsidRDefault="00E24A8E" w:rsidP="00E478D6">
      <w:pPr>
        <w:jc w:val="center"/>
        <w:rPr>
          <w:b/>
          <w:sz w:val="28"/>
          <w:szCs w:val="28"/>
        </w:rPr>
      </w:pPr>
    </w:p>
    <w:p w:rsidR="00E53BD8" w:rsidRPr="002133C2" w:rsidRDefault="00F07181" w:rsidP="00E478D6">
      <w:pPr>
        <w:jc w:val="center"/>
        <w:rPr>
          <w:b/>
          <w:sz w:val="28"/>
          <w:szCs w:val="28"/>
        </w:rPr>
      </w:pPr>
      <w:r w:rsidRPr="002133C2">
        <w:rPr>
          <w:b/>
          <w:sz w:val="28"/>
          <w:szCs w:val="28"/>
        </w:rPr>
        <w:t>DIRECCIÓN DE PROGRAMAS MUNICIPALES, ESTATALES Y FEDERALES</w:t>
      </w:r>
    </w:p>
    <w:p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460"/>
      </w:tblGrid>
      <w:tr w:rsidR="00E53BD8" w:rsidTr="00BC0B2A">
        <w:trPr>
          <w:jc w:val="center"/>
        </w:trPr>
        <w:tc>
          <w:tcPr>
            <w:tcW w:w="3261" w:type="dxa"/>
            <w:shd w:val="clear" w:color="auto" w:fill="D99594" w:themeFill="accent2" w:themeFillTint="99"/>
          </w:tcPr>
          <w:p w:rsidR="00E53BD8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  <w:p w:rsidR="003D3BD2" w:rsidRPr="00F07181" w:rsidRDefault="003D3BD2" w:rsidP="00F0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shd w:val="clear" w:color="auto" w:fill="D99594" w:themeFill="accent2" w:themeFillTint="99"/>
          </w:tcPr>
          <w:p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296C57" w:rsidTr="00BC0B2A">
        <w:trPr>
          <w:jc w:val="center"/>
        </w:trPr>
        <w:tc>
          <w:tcPr>
            <w:tcW w:w="3261" w:type="dxa"/>
          </w:tcPr>
          <w:p w:rsidR="00115B7E" w:rsidRPr="00115B7E" w:rsidRDefault="00115B7E" w:rsidP="00115B7E">
            <w:pPr>
              <w:rPr>
                <w:b/>
                <w:sz w:val="28"/>
                <w:szCs w:val="28"/>
              </w:rPr>
            </w:pPr>
          </w:p>
          <w:p w:rsidR="00296C57" w:rsidRDefault="00115B7E" w:rsidP="00115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Asistencia a evento “3ra. Expo Mujer”</w:t>
            </w:r>
          </w:p>
          <w:p w:rsidR="00115B7E" w:rsidRPr="00115B7E" w:rsidRDefault="00115B7E" w:rsidP="00115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616DE8" w:rsidRDefault="00115B7E" w:rsidP="00433EA3">
            <w:pPr>
              <w:rPr>
                <w:bCs/>
                <w:sz w:val="28"/>
                <w:szCs w:val="28"/>
              </w:rPr>
            </w:pPr>
            <w:r w:rsidRPr="00115B7E">
              <w:rPr>
                <w:bCs/>
                <w:sz w:val="28"/>
                <w:szCs w:val="28"/>
              </w:rPr>
              <w:t xml:space="preserve">Invitada como miembro en presídium en </w:t>
            </w:r>
            <w:r>
              <w:rPr>
                <w:bCs/>
                <w:sz w:val="28"/>
                <w:szCs w:val="28"/>
              </w:rPr>
              <w:t xml:space="preserve">la plaza municipal Bicentenario Benito Juárez en </w:t>
            </w:r>
            <w:r w:rsidRPr="00115B7E">
              <w:rPr>
                <w:bCs/>
                <w:sz w:val="28"/>
                <w:szCs w:val="28"/>
              </w:rPr>
              <w:t xml:space="preserve">conmemoración de </w:t>
            </w:r>
            <w:r w:rsidR="00433EA3">
              <w:rPr>
                <w:bCs/>
                <w:sz w:val="28"/>
                <w:szCs w:val="28"/>
              </w:rPr>
              <w:t xml:space="preserve">el </w:t>
            </w:r>
            <w:r w:rsidR="00433EA3">
              <w:rPr>
                <w:b/>
                <w:bCs/>
                <w:sz w:val="28"/>
                <w:szCs w:val="28"/>
              </w:rPr>
              <w:t>“Día Internacional de l</w:t>
            </w:r>
            <w:r w:rsidR="00433EA3" w:rsidRPr="00433EA3">
              <w:rPr>
                <w:b/>
                <w:bCs/>
                <w:sz w:val="28"/>
                <w:szCs w:val="28"/>
              </w:rPr>
              <w:t>a Mujer”</w:t>
            </w:r>
            <w:r w:rsidR="00433EA3" w:rsidRPr="00115B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con el objetivo de brindar un espacio para ellas en el autoempleo y la superación personal. </w:t>
            </w:r>
          </w:p>
          <w:p w:rsidR="00BC0B2A" w:rsidRPr="00115B7E" w:rsidRDefault="00BC0B2A" w:rsidP="00433EA3">
            <w:pPr>
              <w:rPr>
                <w:bCs/>
                <w:sz w:val="28"/>
                <w:szCs w:val="28"/>
              </w:rPr>
            </w:pPr>
          </w:p>
        </w:tc>
      </w:tr>
      <w:tr w:rsidR="00115B7E" w:rsidTr="00BC0B2A">
        <w:trPr>
          <w:jc w:val="center"/>
        </w:trPr>
        <w:tc>
          <w:tcPr>
            <w:tcW w:w="3261" w:type="dxa"/>
          </w:tcPr>
          <w:p w:rsidR="00115B7E" w:rsidRDefault="00115B7E" w:rsidP="00115B7E">
            <w:pPr>
              <w:rPr>
                <w:b/>
                <w:sz w:val="28"/>
                <w:szCs w:val="28"/>
              </w:rPr>
            </w:pPr>
          </w:p>
          <w:p w:rsidR="00115B7E" w:rsidRDefault="00115B7E" w:rsidP="00115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“Recrea”</w:t>
            </w:r>
          </w:p>
          <w:p w:rsidR="00115B7E" w:rsidRPr="00115B7E" w:rsidRDefault="00115B7E" w:rsidP="00115B7E">
            <w:pPr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115B7E" w:rsidRDefault="00115B7E" w:rsidP="00115B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Organización y logística para hacer entrega de formatos a los directivos de escuelas de todo el municipio para su entrega a tiempo. </w:t>
            </w:r>
          </w:p>
          <w:p w:rsidR="00115B7E" w:rsidRPr="00115B7E" w:rsidRDefault="00115B7E" w:rsidP="00115B7E">
            <w:pPr>
              <w:rPr>
                <w:bCs/>
                <w:sz w:val="28"/>
                <w:szCs w:val="28"/>
              </w:rPr>
            </w:pPr>
          </w:p>
        </w:tc>
      </w:tr>
      <w:tr w:rsidR="00115B7E" w:rsidTr="00BC0B2A">
        <w:trPr>
          <w:jc w:val="center"/>
        </w:trPr>
        <w:tc>
          <w:tcPr>
            <w:tcW w:w="3261" w:type="dxa"/>
          </w:tcPr>
          <w:p w:rsidR="00115B7E" w:rsidRDefault="00115B7E" w:rsidP="00115B7E">
            <w:pPr>
              <w:rPr>
                <w:b/>
                <w:sz w:val="28"/>
                <w:szCs w:val="28"/>
              </w:rPr>
            </w:pPr>
          </w:p>
          <w:p w:rsidR="00115B7E" w:rsidRDefault="00115B7E" w:rsidP="00115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Taller “Construyamos la Ciudad de la igualdad” </w:t>
            </w:r>
          </w:p>
          <w:p w:rsidR="00115B7E" w:rsidRDefault="00115B7E" w:rsidP="00115B7E">
            <w:pPr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115B7E" w:rsidRDefault="00433EA3" w:rsidP="00115B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Dinámicas divertidas y actividades lúdicas en casa de la cultura conmemoración del </w:t>
            </w:r>
            <w:r w:rsidRPr="00433EA3">
              <w:rPr>
                <w:b/>
                <w:bCs/>
                <w:sz w:val="28"/>
                <w:szCs w:val="28"/>
              </w:rPr>
              <w:t>“Día Internacional de la Mujer”.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33EA3" w:rsidTr="00BC0B2A">
        <w:trPr>
          <w:jc w:val="center"/>
        </w:trPr>
        <w:tc>
          <w:tcPr>
            <w:tcW w:w="3261" w:type="dxa"/>
          </w:tcPr>
          <w:p w:rsidR="00433EA3" w:rsidRDefault="00433EA3" w:rsidP="00115B7E">
            <w:pPr>
              <w:rPr>
                <w:b/>
                <w:sz w:val="28"/>
                <w:szCs w:val="28"/>
              </w:rPr>
            </w:pPr>
          </w:p>
          <w:p w:rsidR="00433EA3" w:rsidRDefault="00433EA3" w:rsidP="00115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Taller “Imagen pública” </w:t>
            </w:r>
          </w:p>
          <w:p w:rsidR="00433EA3" w:rsidRDefault="00433EA3" w:rsidP="00115B7E">
            <w:pPr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433EA3" w:rsidRDefault="00433EA3" w:rsidP="00433E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Taller Impartido en Casa de la Cultura por personal de Comunicación política con el objetivo de crear una buena imagen como funcionario público ante la Ciudadanía.</w:t>
            </w:r>
          </w:p>
          <w:p w:rsidR="00BC0B2A" w:rsidRDefault="00BC0B2A" w:rsidP="00433EA3">
            <w:pPr>
              <w:rPr>
                <w:bCs/>
                <w:sz w:val="28"/>
                <w:szCs w:val="28"/>
              </w:rPr>
            </w:pPr>
          </w:p>
        </w:tc>
      </w:tr>
      <w:tr w:rsidR="00433EA3" w:rsidTr="00BC0B2A">
        <w:trPr>
          <w:jc w:val="center"/>
        </w:trPr>
        <w:tc>
          <w:tcPr>
            <w:tcW w:w="3261" w:type="dxa"/>
          </w:tcPr>
          <w:p w:rsidR="00433EA3" w:rsidRDefault="00433EA3" w:rsidP="00115B7E">
            <w:pPr>
              <w:rPr>
                <w:b/>
                <w:sz w:val="28"/>
                <w:szCs w:val="28"/>
              </w:rPr>
            </w:pPr>
          </w:p>
          <w:p w:rsidR="00433EA3" w:rsidRDefault="00433EA3" w:rsidP="00115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Sesión Informativa “Ciudades Amigables con personas mayores”</w:t>
            </w:r>
          </w:p>
          <w:p w:rsidR="00433EA3" w:rsidRDefault="00433EA3" w:rsidP="00115B7E">
            <w:pPr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433EA3" w:rsidRDefault="00433EA3" w:rsidP="00433E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Reunión en las instalaciones de IMEPLAN (Zapopan, Jalisco) con el fin de orientarnos sobre la elaboración de planes municipales y plan estratégico para una metrópoli amigable con personas mayores.  </w:t>
            </w:r>
          </w:p>
        </w:tc>
      </w:tr>
      <w:tr w:rsidR="00433EA3" w:rsidTr="00BC0B2A">
        <w:trPr>
          <w:jc w:val="center"/>
        </w:trPr>
        <w:tc>
          <w:tcPr>
            <w:tcW w:w="3261" w:type="dxa"/>
          </w:tcPr>
          <w:p w:rsidR="00433EA3" w:rsidRDefault="00433EA3" w:rsidP="00115B7E">
            <w:pPr>
              <w:rPr>
                <w:b/>
                <w:sz w:val="28"/>
                <w:szCs w:val="28"/>
              </w:rPr>
            </w:pPr>
          </w:p>
          <w:p w:rsidR="00433EA3" w:rsidRDefault="00433EA3" w:rsidP="00115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Exposición “Fragmentos de Mujer”</w:t>
            </w:r>
          </w:p>
          <w:p w:rsidR="00433EA3" w:rsidRDefault="00433EA3" w:rsidP="00115B7E">
            <w:pPr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433EA3" w:rsidRDefault="00433EA3" w:rsidP="00433EA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Exposición en Casa de la Cultura que conjunta el trabajo de más de 50 artistas </w:t>
            </w:r>
            <w:r w:rsidR="00BC0B2A">
              <w:rPr>
                <w:bCs/>
                <w:sz w:val="28"/>
                <w:szCs w:val="28"/>
              </w:rPr>
              <w:t xml:space="preserve">en la cual mediante pinturas en lienzo, refleja la lucha contra el cáncer de mama. En conmemoración del </w:t>
            </w:r>
            <w:r w:rsidR="00BC0B2A" w:rsidRPr="00433EA3">
              <w:rPr>
                <w:b/>
                <w:bCs/>
                <w:sz w:val="28"/>
                <w:szCs w:val="28"/>
              </w:rPr>
              <w:t xml:space="preserve">“Día Internacional de </w:t>
            </w:r>
            <w:r w:rsidR="00BC0B2A" w:rsidRPr="00433EA3">
              <w:rPr>
                <w:b/>
                <w:bCs/>
                <w:sz w:val="28"/>
                <w:szCs w:val="28"/>
              </w:rPr>
              <w:lastRenderedPageBreak/>
              <w:t>la Mujer”.</w:t>
            </w:r>
            <w:bookmarkStart w:id="0" w:name="_GoBack"/>
            <w:bookmarkEnd w:id="0"/>
          </w:p>
          <w:p w:rsidR="00BC0B2A" w:rsidRDefault="00BC0B2A" w:rsidP="00433EA3">
            <w:pPr>
              <w:rPr>
                <w:bCs/>
                <w:sz w:val="28"/>
                <w:szCs w:val="28"/>
              </w:rPr>
            </w:pPr>
          </w:p>
        </w:tc>
      </w:tr>
      <w:tr w:rsidR="00E478D6" w:rsidTr="00BC0B2A">
        <w:trPr>
          <w:jc w:val="center"/>
        </w:trPr>
        <w:tc>
          <w:tcPr>
            <w:tcW w:w="3261" w:type="dxa"/>
          </w:tcPr>
          <w:p w:rsidR="00115B7E" w:rsidRDefault="00115B7E" w:rsidP="00115B7E">
            <w:pPr>
              <w:jc w:val="center"/>
              <w:rPr>
                <w:b/>
                <w:sz w:val="28"/>
                <w:szCs w:val="28"/>
              </w:rPr>
            </w:pPr>
          </w:p>
          <w:p w:rsidR="00E478D6" w:rsidRPr="00115B7E" w:rsidRDefault="00E478D6" w:rsidP="00115B7E">
            <w:pPr>
              <w:jc w:val="center"/>
              <w:rPr>
                <w:b/>
                <w:sz w:val="28"/>
                <w:szCs w:val="28"/>
              </w:rPr>
            </w:pPr>
            <w:r w:rsidRPr="00115B7E">
              <w:rPr>
                <w:b/>
                <w:sz w:val="28"/>
                <w:szCs w:val="28"/>
              </w:rPr>
              <w:t xml:space="preserve">Talleres impartidos en </w:t>
            </w:r>
            <w:r w:rsidR="00E6782B" w:rsidRPr="00115B7E">
              <w:rPr>
                <w:b/>
                <w:sz w:val="28"/>
                <w:szCs w:val="28"/>
              </w:rPr>
              <w:t>Delegaciones</w:t>
            </w:r>
          </w:p>
        </w:tc>
        <w:tc>
          <w:tcPr>
            <w:tcW w:w="6460" w:type="dxa"/>
          </w:tcPr>
          <w:p w:rsidR="00E478D6" w:rsidRPr="00BC0B2A" w:rsidRDefault="00230416" w:rsidP="00230416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Ofrece diferentes actividades u oficios para fomentar el auto empleo y la superación personal en las delegaciones de: El Muelle, Azucena, San José </w:t>
            </w:r>
            <w:r w:rsidR="00BC0B2A">
              <w:rPr>
                <w:sz w:val="28"/>
                <w:szCs w:val="28"/>
              </w:rPr>
              <w:t>15, Minerales</w:t>
            </w:r>
            <w:r>
              <w:rPr>
                <w:sz w:val="28"/>
                <w:szCs w:val="28"/>
              </w:rPr>
              <w:t xml:space="preserve">, Lomas de El Salto y Lomas del Verde, </w:t>
            </w:r>
            <w:r w:rsidRPr="00BC0B2A">
              <w:rPr>
                <w:b/>
                <w:sz w:val="28"/>
                <w:szCs w:val="28"/>
              </w:rPr>
              <w:t>total 75 beneficiarios</w:t>
            </w:r>
            <w:r w:rsidR="00BC0B2A" w:rsidRPr="00BC0B2A">
              <w:rPr>
                <w:b/>
                <w:sz w:val="28"/>
                <w:szCs w:val="28"/>
              </w:rPr>
              <w:t>.</w:t>
            </w:r>
          </w:p>
          <w:p w:rsidR="00BC0B2A" w:rsidRPr="003D3BD2" w:rsidRDefault="00BC0B2A" w:rsidP="00230416">
            <w:pPr>
              <w:pStyle w:val="Prrafodelista"/>
              <w:rPr>
                <w:sz w:val="28"/>
                <w:szCs w:val="28"/>
              </w:rPr>
            </w:pPr>
          </w:p>
        </w:tc>
      </w:tr>
      <w:tr w:rsidR="00107A8D" w:rsidTr="00BC0B2A">
        <w:trPr>
          <w:trHeight w:val="727"/>
          <w:jc w:val="center"/>
        </w:trPr>
        <w:tc>
          <w:tcPr>
            <w:tcW w:w="3261" w:type="dxa"/>
            <w:vMerge w:val="restart"/>
          </w:tcPr>
          <w:p w:rsidR="00107A8D" w:rsidRPr="00115B7E" w:rsidRDefault="00107A8D" w:rsidP="00115B7E">
            <w:pPr>
              <w:jc w:val="center"/>
              <w:rPr>
                <w:b/>
                <w:sz w:val="28"/>
                <w:szCs w:val="28"/>
              </w:rPr>
            </w:pPr>
          </w:p>
          <w:p w:rsidR="00107A8D" w:rsidRPr="00115B7E" w:rsidRDefault="00107A8D" w:rsidP="00115B7E">
            <w:pPr>
              <w:jc w:val="center"/>
              <w:rPr>
                <w:b/>
                <w:sz w:val="28"/>
                <w:szCs w:val="28"/>
              </w:rPr>
            </w:pPr>
            <w:r w:rsidRPr="00115B7E">
              <w:rPr>
                <w:b/>
                <w:sz w:val="28"/>
                <w:szCs w:val="28"/>
              </w:rPr>
              <w:t>Comedores Comunitarios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Santa Rosa</w:t>
            </w:r>
          </w:p>
          <w:p w:rsidR="00107A8D" w:rsidRPr="003D3BD2" w:rsidRDefault="00107A8D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120 beneficiarios </w:t>
            </w:r>
          </w:p>
        </w:tc>
      </w:tr>
      <w:tr w:rsidR="00107A8D" w:rsidTr="00BC0B2A">
        <w:trPr>
          <w:trHeight w:val="728"/>
          <w:jc w:val="center"/>
        </w:trPr>
        <w:tc>
          <w:tcPr>
            <w:tcW w:w="3261" w:type="dxa"/>
            <w:vMerge/>
          </w:tcPr>
          <w:p w:rsidR="00107A8D" w:rsidRPr="00115B7E" w:rsidRDefault="00107A8D" w:rsidP="00115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Insurgentes</w:t>
            </w:r>
          </w:p>
          <w:p w:rsidR="00107A8D" w:rsidRPr="003D3BD2" w:rsidRDefault="003D3BD2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90</w:t>
            </w:r>
            <w:r w:rsidR="00107A8D" w:rsidRPr="003D3BD2">
              <w:rPr>
                <w:sz w:val="28"/>
                <w:szCs w:val="28"/>
              </w:rPr>
              <w:t xml:space="preserve"> beneficiarios </w:t>
            </w:r>
          </w:p>
        </w:tc>
      </w:tr>
      <w:tr w:rsidR="00453427" w:rsidTr="00BC0B2A">
        <w:trPr>
          <w:jc w:val="center"/>
        </w:trPr>
        <w:tc>
          <w:tcPr>
            <w:tcW w:w="3261" w:type="dxa"/>
          </w:tcPr>
          <w:p w:rsidR="00BC0B2A" w:rsidRDefault="00BC0B2A" w:rsidP="00115B7E">
            <w:pPr>
              <w:jc w:val="center"/>
              <w:rPr>
                <w:b/>
                <w:sz w:val="28"/>
                <w:szCs w:val="28"/>
              </w:rPr>
            </w:pPr>
          </w:p>
          <w:p w:rsidR="00115B7E" w:rsidRDefault="00BC0B2A" w:rsidP="00115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Talleres Casa Comunitaria, Santa Rosa</w:t>
            </w:r>
          </w:p>
          <w:p w:rsidR="00BC0B2A" w:rsidRPr="00115B7E" w:rsidRDefault="00BC0B2A" w:rsidP="00115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453427" w:rsidRDefault="00453427" w:rsidP="00BC0B2A">
            <w:pPr>
              <w:rPr>
                <w:sz w:val="28"/>
                <w:szCs w:val="28"/>
              </w:rPr>
            </w:pPr>
          </w:p>
          <w:p w:rsidR="00BC0B2A" w:rsidRPr="00BC0B2A" w:rsidRDefault="00BC0B2A" w:rsidP="00BC0B2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  <w:r w:rsidRPr="003D3BD2">
              <w:rPr>
                <w:sz w:val="28"/>
                <w:szCs w:val="28"/>
              </w:rPr>
              <w:t>beneficiarios</w:t>
            </w:r>
          </w:p>
        </w:tc>
      </w:tr>
    </w:tbl>
    <w:p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96" w:rsidRDefault="00035D96" w:rsidP="00F07181">
      <w:pPr>
        <w:spacing w:after="0" w:line="240" w:lineRule="auto"/>
      </w:pPr>
      <w:r>
        <w:separator/>
      </w:r>
    </w:p>
  </w:endnote>
  <w:endnote w:type="continuationSeparator" w:id="0">
    <w:p w:rsidR="00035D96" w:rsidRDefault="00035D96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96" w:rsidRDefault="00035D96" w:rsidP="00F07181">
      <w:pPr>
        <w:spacing w:after="0" w:line="240" w:lineRule="auto"/>
      </w:pPr>
      <w:r>
        <w:separator/>
      </w:r>
    </w:p>
  </w:footnote>
  <w:footnote w:type="continuationSeparator" w:id="0">
    <w:p w:rsidR="00035D96" w:rsidRDefault="00035D96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8E" w:rsidRPr="00115B7E" w:rsidRDefault="00E24A8E" w:rsidP="00660443">
    <w:pPr>
      <w:pStyle w:val="Sinespaciado"/>
      <w:rPr>
        <w:bCs/>
      </w:rPr>
    </w:pPr>
    <w:r w:rsidRPr="00115B7E">
      <w:rPr>
        <w:bCs/>
      </w:rPr>
      <w:t>GOBIERNO MUNICIPAL DE EL</w:t>
    </w:r>
    <w:r w:rsidR="00115B7E">
      <w:rPr>
        <w:bCs/>
      </w:rPr>
      <w:t xml:space="preserve"> </w:t>
    </w:r>
    <w:r w:rsidRPr="00115B7E">
      <w:rPr>
        <w:bCs/>
      </w:rPr>
      <w:t>SALTO, 2018-2021</w:t>
    </w:r>
  </w:p>
  <w:p w:rsidR="00F07181" w:rsidRDefault="00E24A8E" w:rsidP="00660443">
    <w:pPr>
      <w:pStyle w:val="Sinespaciado"/>
      <w:rPr>
        <w:bCs/>
      </w:rPr>
    </w:pPr>
    <w:r w:rsidRPr="00115B7E">
      <w:rPr>
        <w:bCs/>
        <w:noProof/>
        <w:shd w:val="clear" w:color="auto" w:fill="F79646" w:themeFill="accent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115B7E">
      <w:rPr>
        <w:bCs/>
      </w:rPr>
      <w:t>I</w:t>
    </w:r>
    <w:r w:rsidR="00E478D6" w:rsidRPr="00115B7E">
      <w:rPr>
        <w:bCs/>
      </w:rPr>
      <w:t>NF</w:t>
    </w:r>
    <w:r w:rsidR="00115B7E">
      <w:rPr>
        <w:bCs/>
      </w:rPr>
      <w:t>ORME DE ACTIVIDADES DE MA</w:t>
    </w:r>
    <w:r w:rsidR="00E6782B" w:rsidRPr="00115B7E">
      <w:rPr>
        <w:bCs/>
      </w:rPr>
      <w:t>R</w:t>
    </w:r>
    <w:r w:rsidR="00115B7E">
      <w:rPr>
        <w:bCs/>
      </w:rPr>
      <w:t>Z</w:t>
    </w:r>
    <w:r w:rsidR="00E6782B" w:rsidRPr="00115B7E">
      <w:rPr>
        <w:bCs/>
      </w:rPr>
      <w:t>O</w:t>
    </w:r>
    <w:r w:rsidR="003D3BD2" w:rsidRPr="00115B7E">
      <w:rPr>
        <w:bCs/>
      </w:rPr>
      <w:t xml:space="preserve"> 2020</w:t>
    </w:r>
  </w:p>
  <w:p w:rsidR="00BC0B2A" w:rsidRDefault="00BC0B2A" w:rsidP="00660443">
    <w:pPr>
      <w:pStyle w:val="Sinespaciado"/>
      <w:rPr>
        <w:bCs/>
      </w:rPr>
    </w:pPr>
  </w:p>
  <w:p w:rsidR="00BC0B2A" w:rsidRPr="00115B7E" w:rsidRDefault="00BC0B2A" w:rsidP="00660443">
    <w:pPr>
      <w:pStyle w:val="Sinespaciado"/>
      <w:rPr>
        <w:bCs/>
      </w:rPr>
    </w:pPr>
  </w:p>
  <w:p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D1E"/>
    <w:multiLevelType w:val="hybridMultilevel"/>
    <w:tmpl w:val="04466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D8"/>
    <w:rsid w:val="00035D96"/>
    <w:rsid w:val="0007196D"/>
    <w:rsid w:val="0009463F"/>
    <w:rsid w:val="00104B40"/>
    <w:rsid w:val="00107A8D"/>
    <w:rsid w:val="0011432C"/>
    <w:rsid w:val="00115B7E"/>
    <w:rsid w:val="00144520"/>
    <w:rsid w:val="002133C2"/>
    <w:rsid w:val="002242F4"/>
    <w:rsid w:val="00230416"/>
    <w:rsid w:val="002360B8"/>
    <w:rsid w:val="00296C57"/>
    <w:rsid w:val="002D71DC"/>
    <w:rsid w:val="00316896"/>
    <w:rsid w:val="003740AA"/>
    <w:rsid w:val="003D3BD2"/>
    <w:rsid w:val="00433EA3"/>
    <w:rsid w:val="00453427"/>
    <w:rsid w:val="00483C8F"/>
    <w:rsid w:val="004E3DE2"/>
    <w:rsid w:val="004F5525"/>
    <w:rsid w:val="005033A6"/>
    <w:rsid w:val="00577160"/>
    <w:rsid w:val="005D1769"/>
    <w:rsid w:val="00616DE8"/>
    <w:rsid w:val="00660443"/>
    <w:rsid w:val="006D003A"/>
    <w:rsid w:val="006D41A6"/>
    <w:rsid w:val="00747A06"/>
    <w:rsid w:val="007C1110"/>
    <w:rsid w:val="007D0DC8"/>
    <w:rsid w:val="008048D4"/>
    <w:rsid w:val="0080795E"/>
    <w:rsid w:val="0082724C"/>
    <w:rsid w:val="008872E2"/>
    <w:rsid w:val="009A29DD"/>
    <w:rsid w:val="00A56281"/>
    <w:rsid w:val="00A72DBB"/>
    <w:rsid w:val="00B0466B"/>
    <w:rsid w:val="00B445B3"/>
    <w:rsid w:val="00BC0B2A"/>
    <w:rsid w:val="00C720B4"/>
    <w:rsid w:val="00CA2659"/>
    <w:rsid w:val="00CD779D"/>
    <w:rsid w:val="00CE26EF"/>
    <w:rsid w:val="00D040B2"/>
    <w:rsid w:val="00D30EAE"/>
    <w:rsid w:val="00D41097"/>
    <w:rsid w:val="00DF04D2"/>
    <w:rsid w:val="00DF3A9A"/>
    <w:rsid w:val="00DF633C"/>
    <w:rsid w:val="00E24A8E"/>
    <w:rsid w:val="00E478D6"/>
    <w:rsid w:val="00E53BD8"/>
    <w:rsid w:val="00E6782B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9483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A85E"/>
  <w15:docId w15:val="{E030090E-497B-4878-A8C9-5CA6FBD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8C16-93C6-4200-A460-83F5A579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22</cp:revision>
  <dcterms:created xsi:type="dcterms:W3CDTF">2019-10-23T17:59:00Z</dcterms:created>
  <dcterms:modified xsi:type="dcterms:W3CDTF">2020-05-27T16:49:00Z</dcterms:modified>
</cp:coreProperties>
</file>