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8A58" w14:textId="77777777" w:rsidR="00F92611" w:rsidRPr="00123B52" w:rsidRDefault="00F92611" w:rsidP="00F926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</w:pPr>
    </w:p>
    <w:tbl>
      <w:tblPr>
        <w:tblStyle w:val="Tablaconcuadrcula"/>
        <w:tblW w:w="13652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2515"/>
        <w:gridCol w:w="3217"/>
        <w:gridCol w:w="2804"/>
        <w:gridCol w:w="2768"/>
      </w:tblGrid>
      <w:tr w:rsidR="00966A3B" w:rsidRPr="00F92611" w14:paraId="7E4ECCD6" w14:textId="77777777" w:rsidTr="000E0CAB">
        <w:trPr>
          <w:trHeight w:val="412"/>
          <w:jc w:val="center"/>
        </w:trPr>
        <w:tc>
          <w:tcPr>
            <w:tcW w:w="2348" w:type="dxa"/>
            <w:shd w:val="clear" w:color="auto" w:fill="FFC000" w:themeFill="accent4"/>
            <w:vAlign w:val="center"/>
          </w:tcPr>
          <w:p w14:paraId="6DB947FB" w14:textId="77777777"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515" w:type="dxa"/>
            <w:shd w:val="clear" w:color="auto" w:fill="FFC000" w:themeFill="accent4"/>
            <w:vAlign w:val="center"/>
          </w:tcPr>
          <w:p w14:paraId="780B5C3F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17" w:type="dxa"/>
            <w:shd w:val="clear" w:color="auto" w:fill="FFC000" w:themeFill="accent4"/>
            <w:vAlign w:val="center"/>
          </w:tcPr>
          <w:p w14:paraId="66DEC4A9" w14:textId="77777777" w:rsidR="00966A3B" w:rsidRPr="00F92611" w:rsidRDefault="00966A3B" w:rsidP="00BF393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804" w:type="dxa"/>
            <w:shd w:val="clear" w:color="auto" w:fill="FFC000" w:themeFill="accent4"/>
            <w:vAlign w:val="center"/>
          </w:tcPr>
          <w:p w14:paraId="0B2B7744" w14:textId="77777777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768" w:type="dxa"/>
            <w:shd w:val="clear" w:color="auto" w:fill="FFC000" w:themeFill="accent4"/>
            <w:vAlign w:val="center"/>
          </w:tcPr>
          <w:p w14:paraId="1D8B2673" w14:textId="23DD8ACF"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966A3B" w:rsidRPr="00F92611" w14:paraId="397BD890" w14:textId="77777777" w:rsidTr="000E0CAB">
        <w:trPr>
          <w:trHeight w:val="148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30151D63" w14:textId="77777777" w:rsidR="00966A3B" w:rsidRPr="003C406B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3C406B">
              <w:rPr>
                <w:sz w:val="24"/>
                <w:szCs w:val="24"/>
              </w:rPr>
              <w:t>Registro Civil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5152B51" w14:textId="4CE6E1B6" w:rsidR="00966A3B" w:rsidRPr="00F92611" w:rsidRDefault="00167F7E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poblacional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082B9FCA" w14:textId="32975FB7" w:rsidR="00966A3B" w:rsidRPr="00966A3B" w:rsidRDefault="00966A3B" w:rsidP="00CE2A55">
            <w:pPr>
              <w:pStyle w:val="Sinespaciado"/>
              <w:jc w:val="center"/>
              <w:rPr>
                <w:sz w:val="24"/>
                <w:szCs w:val="24"/>
              </w:rPr>
            </w:pPr>
            <w:r w:rsidRPr="00966A3B">
              <w:rPr>
                <w:sz w:val="24"/>
                <w:szCs w:val="24"/>
              </w:rPr>
              <w:t>Brindar un servicio</w:t>
            </w:r>
            <w:r w:rsidR="00167F7E">
              <w:rPr>
                <w:sz w:val="24"/>
                <w:szCs w:val="24"/>
              </w:rPr>
              <w:t xml:space="preserve"> de registro civil </w:t>
            </w:r>
            <w:r w:rsidRPr="00966A3B">
              <w:rPr>
                <w:sz w:val="24"/>
                <w:szCs w:val="24"/>
              </w:rPr>
              <w:t xml:space="preserve">eficiente </w:t>
            </w:r>
            <w:r w:rsidR="00167F7E">
              <w:rPr>
                <w:sz w:val="24"/>
                <w:szCs w:val="24"/>
              </w:rPr>
              <w:t>y eficaz</w:t>
            </w:r>
            <w:r w:rsidRPr="0096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C9DC84D" w14:textId="21C861DF" w:rsidR="00966A3B" w:rsidRPr="00F92611" w:rsidRDefault="00966A3B" w:rsidP="000E0CA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Actas expedidas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C19E321" w14:textId="77777777" w:rsidR="00966A3B" w:rsidRDefault="009C4C75" w:rsidP="00B66EE4">
            <w:pPr>
              <w:pStyle w:val="Sinespaciado"/>
              <w:rPr>
                <w:sz w:val="24"/>
                <w:szCs w:val="24"/>
              </w:rPr>
            </w:pPr>
            <w:r w:rsidRPr="0098720C">
              <w:rPr>
                <w:color w:val="000000" w:themeColor="text1"/>
                <w:sz w:val="24"/>
                <w:szCs w:val="24"/>
              </w:rPr>
              <w:t>1,729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>
              <w:rPr>
                <w:sz w:val="24"/>
                <w:szCs w:val="24"/>
              </w:rPr>
              <w:t xml:space="preserve">nacimientos                          </w:t>
            </w:r>
            <w:r>
              <w:rPr>
                <w:sz w:val="24"/>
                <w:szCs w:val="24"/>
              </w:rPr>
              <w:t xml:space="preserve">                             283</w:t>
            </w:r>
            <w:r w:rsidR="00966A3B">
              <w:rPr>
                <w:sz w:val="24"/>
                <w:szCs w:val="24"/>
              </w:rPr>
              <w:t xml:space="preserve"> matrimonios  </w:t>
            </w:r>
          </w:p>
          <w:p w14:paraId="282B2276" w14:textId="77777777" w:rsidR="00966A3B" w:rsidRDefault="009C4C75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966A3B" w:rsidRPr="00F92611">
              <w:rPr>
                <w:sz w:val="24"/>
                <w:szCs w:val="24"/>
              </w:rPr>
              <w:t xml:space="preserve"> defunciones</w:t>
            </w:r>
          </w:p>
          <w:p w14:paraId="4EA39837" w14:textId="77777777" w:rsidR="00966A3B" w:rsidRDefault="009C4C75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14,607</w:t>
            </w:r>
            <w:r w:rsidR="00966A3B">
              <w:rPr>
                <w:sz w:val="24"/>
                <w:szCs w:val="24"/>
              </w:rPr>
              <w:t xml:space="preserve"> actas expedidas</w:t>
            </w:r>
          </w:p>
          <w:p w14:paraId="2BAFABE1" w14:textId="77777777" w:rsidR="003372D8" w:rsidRDefault="003372D8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aclaraciones de actas</w:t>
            </w:r>
          </w:p>
          <w:p w14:paraId="47373DE2" w14:textId="77777777" w:rsidR="003372D8" w:rsidRDefault="003372D8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divorcios</w:t>
            </w:r>
          </w:p>
          <w:p w14:paraId="490E0CA9" w14:textId="77777777" w:rsidR="003372D8" w:rsidRDefault="003372D8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reconocimientos</w:t>
            </w:r>
          </w:p>
          <w:p w14:paraId="19D5C88F" w14:textId="3330FFCB" w:rsidR="003372D8" w:rsidRPr="003372D8" w:rsidRDefault="003372D8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14,607 actas expedidas en general</w:t>
            </w:r>
          </w:p>
        </w:tc>
      </w:tr>
      <w:tr w:rsidR="00966A3B" w:rsidRPr="00F92611" w14:paraId="7A0ABD48" w14:textId="77777777" w:rsidTr="000E0CAB">
        <w:trPr>
          <w:trHeight w:val="91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5F2FD225" w14:textId="77777777" w:rsidR="00966A3B" w:rsidRPr="003C406B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Parque Vehicular</w:t>
            </w:r>
          </w:p>
        </w:tc>
        <w:tc>
          <w:tcPr>
            <w:tcW w:w="2515" w:type="dxa"/>
            <w:vAlign w:val="center"/>
          </w:tcPr>
          <w:p w14:paraId="489DBA5F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>Control del Parque vehicular</w:t>
            </w:r>
          </w:p>
        </w:tc>
        <w:tc>
          <w:tcPr>
            <w:tcW w:w="3217" w:type="dxa"/>
            <w:vAlign w:val="center"/>
          </w:tcPr>
          <w:p w14:paraId="66039BB0" w14:textId="1ED30F2D" w:rsidR="00966A3B" w:rsidRPr="00F92611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Control de movimientos </w:t>
            </w:r>
            <w:r w:rsidR="00944E47">
              <w:rPr>
                <w:color w:val="000000" w:themeColor="text1"/>
                <w:sz w:val="24"/>
                <w:szCs w:val="24"/>
              </w:rPr>
              <w:t>para su mayor cuidado</w:t>
            </w:r>
          </w:p>
        </w:tc>
        <w:tc>
          <w:tcPr>
            <w:tcW w:w="2804" w:type="dxa"/>
            <w:vAlign w:val="center"/>
          </w:tcPr>
          <w:p w14:paraId="33788C39" w14:textId="75A968FE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 xml:space="preserve">Número de vehículos </w:t>
            </w:r>
            <w:r w:rsidR="00944E47">
              <w:rPr>
                <w:color w:val="000000" w:themeColor="text1"/>
                <w:sz w:val="24"/>
                <w:szCs w:val="24"/>
              </w:rPr>
              <w:t>en el padrón</w:t>
            </w:r>
          </w:p>
        </w:tc>
        <w:tc>
          <w:tcPr>
            <w:tcW w:w="2768" w:type="dxa"/>
            <w:vAlign w:val="center"/>
          </w:tcPr>
          <w:p w14:paraId="2A1EC8D1" w14:textId="01A438E6" w:rsidR="003D08BF" w:rsidRPr="00F92611" w:rsidRDefault="003D08BF" w:rsidP="003372D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</w:t>
            </w:r>
            <w:r w:rsidR="00966A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A3B" w:rsidRPr="00F92611">
              <w:rPr>
                <w:color w:val="000000" w:themeColor="text1"/>
                <w:sz w:val="24"/>
                <w:szCs w:val="24"/>
              </w:rPr>
              <w:t>vehículos inscritos al padrón</w:t>
            </w:r>
          </w:p>
        </w:tc>
      </w:tr>
      <w:tr w:rsidR="00966A3B" w:rsidRPr="00F92611" w14:paraId="68B576C9" w14:textId="77777777" w:rsidTr="000E0CAB">
        <w:trPr>
          <w:trHeight w:val="1005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090C7EAD" w14:textId="77777777" w:rsidR="00966A3B" w:rsidRPr="003C406B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3C406B">
              <w:rPr>
                <w:sz w:val="24"/>
                <w:szCs w:val="24"/>
              </w:rPr>
              <w:t>Taller Mecánico</w:t>
            </w:r>
          </w:p>
        </w:tc>
        <w:tc>
          <w:tcPr>
            <w:tcW w:w="2515" w:type="dxa"/>
            <w:vAlign w:val="center"/>
          </w:tcPr>
          <w:p w14:paraId="3F646EB7" w14:textId="77777777" w:rsidR="00966A3B" w:rsidRPr="00F92611" w:rsidRDefault="00966A3B" w:rsidP="000E0CAB">
            <w:pPr>
              <w:pStyle w:val="Sinespaciado"/>
              <w:jc w:val="center"/>
              <w:rPr>
                <w:sz w:val="24"/>
                <w:szCs w:val="24"/>
              </w:rPr>
            </w:pPr>
            <w:r w:rsidRPr="00F92611">
              <w:rPr>
                <w:sz w:val="24"/>
                <w:szCs w:val="24"/>
              </w:rPr>
              <w:t>Mejoramiento Vehicular</w:t>
            </w:r>
          </w:p>
        </w:tc>
        <w:tc>
          <w:tcPr>
            <w:tcW w:w="3217" w:type="dxa"/>
            <w:vAlign w:val="center"/>
          </w:tcPr>
          <w:p w14:paraId="0AF84158" w14:textId="77777777" w:rsidR="00966A3B" w:rsidRPr="00F92611" w:rsidRDefault="00966A3B" w:rsidP="006B6F2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Tener el parque vehicular en condiciones óptimas para el servicio</w:t>
            </w:r>
          </w:p>
        </w:tc>
        <w:tc>
          <w:tcPr>
            <w:tcW w:w="2804" w:type="dxa"/>
            <w:vAlign w:val="center"/>
          </w:tcPr>
          <w:p w14:paraId="70EF7ECB" w14:textId="1F5F665B" w:rsidR="00966A3B" w:rsidRPr="00F92611" w:rsidRDefault="00E3625B" w:rsidP="000E0CA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intervenciones realizadas</w:t>
            </w:r>
          </w:p>
        </w:tc>
        <w:tc>
          <w:tcPr>
            <w:tcW w:w="2768" w:type="dxa"/>
            <w:vAlign w:val="center"/>
          </w:tcPr>
          <w:p w14:paraId="2EE029EF" w14:textId="30B7B9D0" w:rsidR="00966A3B" w:rsidRPr="00F92611" w:rsidRDefault="003D08BF" w:rsidP="003C406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  <w:r w:rsidR="00966A3B" w:rsidRPr="00F92611">
              <w:rPr>
                <w:sz w:val="24"/>
                <w:szCs w:val="24"/>
              </w:rPr>
              <w:t xml:space="preserve"> </w:t>
            </w:r>
            <w:r w:rsidR="00966A3B">
              <w:rPr>
                <w:sz w:val="24"/>
                <w:szCs w:val="24"/>
              </w:rPr>
              <w:t>intervenciones</w:t>
            </w:r>
          </w:p>
        </w:tc>
      </w:tr>
      <w:tr w:rsidR="00966A3B" w:rsidRPr="00F92611" w14:paraId="66B0FC91" w14:textId="77777777" w:rsidTr="000E0CAB">
        <w:trPr>
          <w:trHeight w:val="880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49AE95E" w14:textId="77777777" w:rsidR="00966A3B" w:rsidRPr="003C406B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Catastro</w:t>
            </w:r>
          </w:p>
        </w:tc>
        <w:tc>
          <w:tcPr>
            <w:tcW w:w="2515" w:type="dxa"/>
            <w:vAlign w:val="center"/>
          </w:tcPr>
          <w:p w14:paraId="15F787A7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Fortalecimiento de ingresos</w:t>
            </w:r>
          </w:p>
        </w:tc>
        <w:tc>
          <w:tcPr>
            <w:tcW w:w="3217" w:type="dxa"/>
            <w:vAlign w:val="center"/>
          </w:tcPr>
          <w:p w14:paraId="541BD69A" w14:textId="77777777" w:rsidR="00966A3B" w:rsidRPr="00F92611" w:rsidRDefault="008F0AF1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Reducir el monto de la cartera vencida </w:t>
            </w:r>
          </w:p>
        </w:tc>
        <w:tc>
          <w:tcPr>
            <w:tcW w:w="2804" w:type="dxa"/>
            <w:vAlign w:val="center"/>
          </w:tcPr>
          <w:p w14:paraId="4B04AFFB" w14:textId="77777777" w:rsidR="00966A3B" w:rsidRPr="00F92611" w:rsidRDefault="00966A3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Número de pagos recibidos</w:t>
            </w:r>
          </w:p>
        </w:tc>
        <w:tc>
          <w:tcPr>
            <w:tcW w:w="2768" w:type="dxa"/>
            <w:vAlign w:val="center"/>
          </w:tcPr>
          <w:p w14:paraId="0DE00874" w14:textId="77777777" w:rsidR="00966A3B" w:rsidRPr="00F92611" w:rsidRDefault="003D08BF" w:rsidP="003C406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13,1</w:t>
            </w:r>
            <w:r w:rsidR="00966A3B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966A3B">
              <w:rPr>
                <w:color w:val="000000" w:themeColor="text1"/>
                <w:sz w:val="24"/>
                <w:szCs w:val="24"/>
              </w:rPr>
              <w:t xml:space="preserve"> pagos recibidos</w:t>
            </w:r>
          </w:p>
        </w:tc>
      </w:tr>
      <w:tr w:rsidR="00966A3B" w:rsidRPr="00F92611" w14:paraId="711FAA83" w14:textId="77777777" w:rsidTr="000E0CAB">
        <w:trPr>
          <w:trHeight w:val="80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ED629E2" w14:textId="77777777" w:rsidR="00966A3B" w:rsidRPr="003C406B" w:rsidRDefault="00894084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 xml:space="preserve">Jefatura de Apremios </w:t>
            </w:r>
          </w:p>
        </w:tc>
        <w:tc>
          <w:tcPr>
            <w:tcW w:w="2515" w:type="dxa"/>
            <w:vAlign w:val="center"/>
          </w:tcPr>
          <w:p w14:paraId="69118975" w14:textId="4EF496D8" w:rsidR="00966A3B" w:rsidRDefault="00716C0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Colaboración </w:t>
            </w:r>
            <w:r w:rsidR="000239DB">
              <w:rPr>
                <w:color w:val="000000" w:themeColor="text1"/>
                <w:sz w:val="24"/>
                <w:szCs w:val="24"/>
              </w:rPr>
              <w:t>Reglamenta</w:t>
            </w:r>
            <w:r>
              <w:rPr>
                <w:color w:val="000000" w:themeColor="text1"/>
                <w:sz w:val="24"/>
                <w:szCs w:val="24"/>
              </w:rPr>
              <w:t>ria</w:t>
            </w:r>
          </w:p>
        </w:tc>
        <w:tc>
          <w:tcPr>
            <w:tcW w:w="3217" w:type="dxa"/>
            <w:vAlign w:val="center"/>
          </w:tcPr>
          <w:p w14:paraId="60D33CD8" w14:textId="6D144B92" w:rsidR="00966A3B" w:rsidRDefault="00716C0E" w:rsidP="00894084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Notificar de casos irregulares para actualizar la reglamentación </w:t>
            </w:r>
          </w:p>
        </w:tc>
        <w:tc>
          <w:tcPr>
            <w:tcW w:w="2804" w:type="dxa"/>
            <w:vAlign w:val="center"/>
          </w:tcPr>
          <w:p w14:paraId="22D22787" w14:textId="29E66955" w:rsidR="00966A3B" w:rsidRDefault="000239DB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Infracciones notificadas</w:t>
            </w:r>
          </w:p>
        </w:tc>
        <w:tc>
          <w:tcPr>
            <w:tcW w:w="2768" w:type="dxa"/>
            <w:vAlign w:val="center"/>
          </w:tcPr>
          <w:p w14:paraId="4D9C148C" w14:textId="77777777" w:rsidR="00AF7E6D" w:rsidRDefault="00AE4071" w:rsidP="003C406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338</w:t>
            </w:r>
            <w:r w:rsidR="000239DB">
              <w:rPr>
                <w:color w:val="000000" w:themeColor="text1"/>
                <w:sz w:val="24"/>
                <w:szCs w:val="24"/>
              </w:rPr>
              <w:t xml:space="preserve"> notifica</w:t>
            </w:r>
            <w:r w:rsidR="00AF7E6D">
              <w:rPr>
                <w:color w:val="000000" w:themeColor="text1"/>
                <w:sz w:val="24"/>
                <w:szCs w:val="24"/>
              </w:rPr>
              <w:t xml:space="preserve">ciones </w:t>
            </w:r>
          </w:p>
          <w:p w14:paraId="73431F96" w14:textId="1DD9F516" w:rsidR="00966A3B" w:rsidRDefault="00AF7E6D" w:rsidP="003C406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2016-2019</w:t>
            </w:r>
          </w:p>
        </w:tc>
      </w:tr>
      <w:tr w:rsidR="00B81D40" w:rsidRPr="00F92611" w14:paraId="5905BDAE" w14:textId="77777777" w:rsidTr="000E0CAB">
        <w:trPr>
          <w:trHeight w:val="1353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6DD4884" w14:textId="77777777" w:rsidR="007E26BB" w:rsidRPr="003C406B" w:rsidRDefault="00B81D40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>Dirección de Tecnologías de la Información y Comunicación</w:t>
            </w:r>
          </w:p>
          <w:p w14:paraId="5233E391" w14:textId="77777777" w:rsidR="007E26BB" w:rsidRPr="003C406B" w:rsidRDefault="00B81D40" w:rsidP="00B1016F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C406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2BAE15EE" w14:textId="2ABED26C" w:rsidR="00B81D40" w:rsidRDefault="00944E47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Madurez tecnológica</w:t>
            </w:r>
          </w:p>
        </w:tc>
        <w:tc>
          <w:tcPr>
            <w:tcW w:w="3217" w:type="dxa"/>
            <w:vAlign w:val="center"/>
          </w:tcPr>
          <w:p w14:paraId="508C26A6" w14:textId="41058E71" w:rsidR="00B81D40" w:rsidRDefault="00B81D40" w:rsidP="00B81D40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Incrementar </w:t>
            </w:r>
            <w:r>
              <w:rPr>
                <w:sz w:val="24"/>
                <w:szCs w:val="24"/>
              </w:rPr>
              <w:t xml:space="preserve">el </w:t>
            </w:r>
            <w:r w:rsidR="00716C0E">
              <w:rPr>
                <w:sz w:val="24"/>
                <w:szCs w:val="24"/>
              </w:rPr>
              <w:t xml:space="preserve">desarrollo tecnológico </w:t>
            </w:r>
            <w:r w:rsidRPr="003E2ADB">
              <w:rPr>
                <w:sz w:val="24"/>
                <w:szCs w:val="24"/>
              </w:rPr>
              <w:t>para el servicio de calidad</w:t>
            </w:r>
            <w:r w:rsidR="00167F7E">
              <w:rPr>
                <w:sz w:val="24"/>
                <w:szCs w:val="24"/>
              </w:rPr>
              <w:t xml:space="preserve"> y modernizado</w:t>
            </w:r>
          </w:p>
        </w:tc>
        <w:tc>
          <w:tcPr>
            <w:tcW w:w="2804" w:type="dxa"/>
            <w:vAlign w:val="center"/>
          </w:tcPr>
          <w:p w14:paraId="2BB38A51" w14:textId="480B2C98" w:rsidR="00B81D40" w:rsidRDefault="00167F7E" w:rsidP="000E0CA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Acciones en e</w:t>
            </w:r>
            <w:r w:rsidR="00716C0E">
              <w:rPr>
                <w:color w:val="000000" w:themeColor="text1"/>
                <w:sz w:val="24"/>
                <w:szCs w:val="24"/>
              </w:rPr>
              <w:t>quipamiento tecnológico</w:t>
            </w:r>
          </w:p>
        </w:tc>
        <w:tc>
          <w:tcPr>
            <w:tcW w:w="2768" w:type="dxa"/>
            <w:vAlign w:val="center"/>
          </w:tcPr>
          <w:p w14:paraId="21CE215D" w14:textId="77777777" w:rsidR="00B81D40" w:rsidRDefault="00AE4071" w:rsidP="00AE4071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116 </w:t>
            </w:r>
            <w:r w:rsidR="00576D0F">
              <w:rPr>
                <w:color w:val="000000" w:themeColor="text1"/>
                <w:sz w:val="24"/>
                <w:szCs w:val="24"/>
              </w:rPr>
              <w:t>instalaciones</w:t>
            </w:r>
          </w:p>
          <w:p w14:paraId="7BE2C1C0" w14:textId="77777777" w:rsidR="00576D0F" w:rsidRDefault="00AE4071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 s</w:t>
            </w:r>
            <w:r w:rsidR="00576D0F">
              <w:rPr>
                <w:color w:val="000000" w:themeColor="text1"/>
                <w:sz w:val="24"/>
                <w:szCs w:val="24"/>
              </w:rPr>
              <w:t xml:space="preserve">oporte técnico </w:t>
            </w:r>
          </w:p>
          <w:p w14:paraId="62BB360E" w14:textId="77777777" w:rsidR="00576D0F" w:rsidRDefault="00AE4071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164 atenciones a Dependencias </w:t>
            </w:r>
            <w:r w:rsidR="00576D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A32182A" w14:textId="77777777" w:rsidR="003372D8" w:rsidRDefault="00167F7E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Sistema de pago en línea</w:t>
            </w:r>
          </w:p>
          <w:p w14:paraId="452FE234" w14:textId="74DB3FF9" w:rsidR="00167F7E" w:rsidRDefault="00167F7E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partir de enero 2020</w:t>
            </w:r>
          </w:p>
        </w:tc>
      </w:tr>
      <w:tr w:rsidR="00576D0F" w:rsidRPr="00F92611" w14:paraId="4C490E07" w14:textId="77777777" w:rsidTr="00CB2797">
        <w:trPr>
          <w:trHeight w:val="131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283EEDC" w14:textId="77777777" w:rsidR="00576D0F" w:rsidRPr="003C406B" w:rsidRDefault="00E85DE6" w:rsidP="00D7072D">
            <w:pPr>
              <w:spacing w:line="240" w:lineRule="auto"/>
              <w:jc w:val="center"/>
            </w:pPr>
            <w:r w:rsidRPr="003C406B">
              <w:lastRenderedPageBreak/>
              <w:t>Jefatura de Oficialía de partes</w:t>
            </w:r>
          </w:p>
        </w:tc>
        <w:tc>
          <w:tcPr>
            <w:tcW w:w="2515" w:type="dxa"/>
            <w:vAlign w:val="center"/>
          </w:tcPr>
          <w:p w14:paraId="7A6F4F53" w14:textId="759B4A74" w:rsidR="00576D0F" w:rsidRDefault="00E85DE6" w:rsidP="000E0CAB">
            <w:pPr>
              <w:spacing w:line="240" w:lineRule="auto"/>
              <w:jc w:val="center"/>
            </w:pPr>
            <w:r>
              <w:t>Recepción y canalización</w:t>
            </w:r>
          </w:p>
        </w:tc>
        <w:tc>
          <w:tcPr>
            <w:tcW w:w="3217" w:type="dxa"/>
            <w:vAlign w:val="center"/>
          </w:tcPr>
          <w:p w14:paraId="7A73A302" w14:textId="77777777" w:rsidR="00576D0F" w:rsidRPr="003E2ADB" w:rsidRDefault="00E85DE6" w:rsidP="00CB2797">
            <w:pPr>
              <w:spacing w:line="240" w:lineRule="auto"/>
              <w:jc w:val="center"/>
            </w:pPr>
            <w:r>
              <w:t>Designar a las Dependencias correspondientes los documentos externos que se reciben</w:t>
            </w:r>
          </w:p>
        </w:tc>
        <w:tc>
          <w:tcPr>
            <w:tcW w:w="2804" w:type="dxa"/>
            <w:vAlign w:val="center"/>
          </w:tcPr>
          <w:p w14:paraId="41417EC2" w14:textId="42374741" w:rsidR="00576D0F" w:rsidRDefault="00E85DE6" w:rsidP="000E0CAB">
            <w:pPr>
              <w:spacing w:line="240" w:lineRule="auto"/>
              <w:jc w:val="center"/>
            </w:pPr>
            <w:r>
              <w:t xml:space="preserve">Documentos </w:t>
            </w:r>
            <w:r w:rsidR="00AF7E6D">
              <w:t xml:space="preserve">recibidos y </w:t>
            </w:r>
            <w:r>
              <w:t>canalizados</w:t>
            </w:r>
          </w:p>
        </w:tc>
        <w:tc>
          <w:tcPr>
            <w:tcW w:w="2768" w:type="dxa"/>
            <w:vAlign w:val="center"/>
          </w:tcPr>
          <w:p w14:paraId="08A8BC36" w14:textId="77777777" w:rsidR="00576D0F" w:rsidRDefault="00440B8F" w:rsidP="00DD2E26">
            <w:pPr>
              <w:spacing w:line="240" w:lineRule="auto"/>
            </w:pPr>
            <w:r>
              <w:t>395</w:t>
            </w:r>
            <w:r w:rsidR="00E85DE6">
              <w:t xml:space="preserve"> documentos recibidos y canalizados</w:t>
            </w:r>
          </w:p>
        </w:tc>
      </w:tr>
      <w:tr w:rsidR="00576D0F" w:rsidRPr="00F92611" w14:paraId="7462F6E6" w14:textId="77777777" w:rsidTr="00CB2797">
        <w:trPr>
          <w:trHeight w:val="980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29ABF50A" w14:textId="6E2AC4B9" w:rsidR="00576D0F" w:rsidRPr="003C406B" w:rsidRDefault="005746D6" w:rsidP="00D7072D">
            <w:pPr>
              <w:spacing w:line="240" w:lineRule="auto"/>
              <w:jc w:val="center"/>
            </w:pPr>
            <w:r w:rsidRPr="003C406B">
              <w:t>Dirección de Patrimonio</w:t>
            </w:r>
          </w:p>
        </w:tc>
        <w:tc>
          <w:tcPr>
            <w:tcW w:w="2515" w:type="dxa"/>
            <w:vAlign w:val="center"/>
          </w:tcPr>
          <w:p w14:paraId="44E459F3" w14:textId="61844072" w:rsidR="00576D0F" w:rsidRDefault="005746D6" w:rsidP="000E0CAB">
            <w:pPr>
              <w:spacing w:line="240" w:lineRule="auto"/>
              <w:jc w:val="center"/>
            </w:pPr>
            <w:r>
              <w:t>Control de bienes</w:t>
            </w:r>
          </w:p>
        </w:tc>
        <w:tc>
          <w:tcPr>
            <w:tcW w:w="3217" w:type="dxa"/>
            <w:vAlign w:val="center"/>
          </w:tcPr>
          <w:p w14:paraId="075B868A" w14:textId="77777777" w:rsidR="00576D0F" w:rsidRPr="003E2ADB" w:rsidRDefault="005746D6" w:rsidP="00CB2797">
            <w:pPr>
              <w:spacing w:line="240" w:lineRule="auto"/>
              <w:jc w:val="center"/>
            </w:pPr>
            <w:r>
              <w:t>Inventario de bienes del Ayuntamiento</w:t>
            </w:r>
          </w:p>
        </w:tc>
        <w:tc>
          <w:tcPr>
            <w:tcW w:w="2804" w:type="dxa"/>
            <w:vAlign w:val="center"/>
          </w:tcPr>
          <w:p w14:paraId="5D4505A4" w14:textId="5DB55929" w:rsidR="00576D0F" w:rsidRDefault="005746D6" w:rsidP="000E0CAB">
            <w:pPr>
              <w:spacing w:line="240" w:lineRule="auto"/>
              <w:jc w:val="center"/>
            </w:pPr>
            <w:r>
              <w:t>Porcentaje de avance</w:t>
            </w:r>
          </w:p>
        </w:tc>
        <w:tc>
          <w:tcPr>
            <w:tcW w:w="2768" w:type="dxa"/>
            <w:vAlign w:val="center"/>
          </w:tcPr>
          <w:p w14:paraId="3BF6568B" w14:textId="77777777" w:rsidR="00576D0F" w:rsidRDefault="005746D6" w:rsidP="00DD2E26">
            <w:pPr>
              <w:spacing w:line="240" w:lineRule="auto"/>
            </w:pPr>
            <w:r>
              <w:t>Avance de un 95%</w:t>
            </w:r>
          </w:p>
        </w:tc>
      </w:tr>
      <w:tr w:rsidR="00576D0F" w:rsidRPr="00F92611" w14:paraId="049D3BEF" w14:textId="77777777" w:rsidTr="00CB2797">
        <w:trPr>
          <w:trHeight w:val="1122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3A6BEAF" w14:textId="79C9DE58" w:rsidR="00576D0F" w:rsidRPr="003C406B" w:rsidRDefault="005746D6" w:rsidP="00D7072D">
            <w:pPr>
              <w:spacing w:line="240" w:lineRule="auto"/>
              <w:jc w:val="center"/>
            </w:pPr>
            <w:r w:rsidRPr="003C406B">
              <w:t>Jefatura de Archivo Municipal</w:t>
            </w:r>
          </w:p>
        </w:tc>
        <w:tc>
          <w:tcPr>
            <w:tcW w:w="2515" w:type="dxa"/>
            <w:vAlign w:val="center"/>
          </w:tcPr>
          <w:p w14:paraId="7EEDED0D" w14:textId="29A93C71" w:rsidR="00576D0F" w:rsidRDefault="005746D6" w:rsidP="000E0CAB">
            <w:pPr>
              <w:spacing w:line="240" w:lineRule="auto"/>
              <w:jc w:val="center"/>
            </w:pPr>
            <w:r>
              <w:t>Archivo Municipal</w:t>
            </w:r>
          </w:p>
        </w:tc>
        <w:tc>
          <w:tcPr>
            <w:tcW w:w="3217" w:type="dxa"/>
            <w:vAlign w:val="center"/>
          </w:tcPr>
          <w:p w14:paraId="08AC15BF" w14:textId="77777777" w:rsidR="00576D0F" w:rsidRPr="003E2ADB" w:rsidRDefault="005746D6" w:rsidP="00CB2797">
            <w:pPr>
              <w:spacing w:line="240" w:lineRule="auto"/>
              <w:jc w:val="center"/>
            </w:pPr>
            <w:r>
              <w:t>Mantener organizado y en óptimas condiciones el archivo municipal</w:t>
            </w:r>
          </w:p>
        </w:tc>
        <w:tc>
          <w:tcPr>
            <w:tcW w:w="2804" w:type="dxa"/>
            <w:vAlign w:val="center"/>
          </w:tcPr>
          <w:p w14:paraId="4CCAE3FA" w14:textId="112A5DDA" w:rsidR="00576D0F" w:rsidRDefault="005746D6" w:rsidP="000E0CAB">
            <w:pPr>
              <w:spacing w:line="240" w:lineRule="auto"/>
              <w:jc w:val="center"/>
            </w:pPr>
            <w:r>
              <w:t>Número de búsquedas</w:t>
            </w:r>
          </w:p>
        </w:tc>
        <w:tc>
          <w:tcPr>
            <w:tcW w:w="2768" w:type="dxa"/>
            <w:vAlign w:val="center"/>
          </w:tcPr>
          <w:p w14:paraId="1E98D260" w14:textId="77777777" w:rsidR="005746D6" w:rsidRDefault="005746D6" w:rsidP="00DD2E26">
            <w:pPr>
              <w:spacing w:line="240" w:lineRule="auto"/>
            </w:pPr>
            <w:r>
              <w:t xml:space="preserve">Organización y clasificación de archivos </w:t>
            </w:r>
          </w:p>
          <w:p w14:paraId="67CB7D92" w14:textId="77777777" w:rsidR="00576D0F" w:rsidRPr="005746D6" w:rsidRDefault="00440B8F" w:rsidP="00DD2E26">
            <w:pPr>
              <w:spacing w:line="240" w:lineRule="auto"/>
            </w:pPr>
            <w:r>
              <w:t>20</w:t>
            </w:r>
            <w:r w:rsidR="005746D6">
              <w:t xml:space="preserve"> búsquedas de archivos</w:t>
            </w:r>
          </w:p>
        </w:tc>
      </w:tr>
      <w:tr w:rsidR="001C51ED" w:rsidRPr="00F92611" w14:paraId="6DF1E3DC" w14:textId="77777777" w:rsidTr="00CB2797">
        <w:trPr>
          <w:trHeight w:val="756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1F10F6E6" w14:textId="5063E0F6" w:rsidR="001C51ED" w:rsidRPr="003C406B" w:rsidRDefault="001C51ED" w:rsidP="00D7072D">
            <w:pPr>
              <w:spacing w:line="240" w:lineRule="auto"/>
              <w:jc w:val="center"/>
            </w:pPr>
            <w:r w:rsidRPr="003C406B">
              <w:t>Jefatura de Mejora Regulatoria</w:t>
            </w:r>
          </w:p>
        </w:tc>
        <w:tc>
          <w:tcPr>
            <w:tcW w:w="2515" w:type="dxa"/>
            <w:vAlign w:val="center"/>
          </w:tcPr>
          <w:p w14:paraId="5111420D" w14:textId="5C808B86" w:rsidR="0078540E" w:rsidRDefault="0078540E" w:rsidP="000E0CAB">
            <w:pPr>
              <w:spacing w:line="240" w:lineRule="auto"/>
              <w:jc w:val="center"/>
            </w:pPr>
            <w:r>
              <w:t>Eficiencia reglamentaria</w:t>
            </w:r>
          </w:p>
        </w:tc>
        <w:tc>
          <w:tcPr>
            <w:tcW w:w="3217" w:type="dxa"/>
            <w:vAlign w:val="center"/>
          </w:tcPr>
          <w:p w14:paraId="1E1FBBED" w14:textId="77777777" w:rsidR="001C51ED" w:rsidRDefault="0078540E" w:rsidP="00CB2797">
            <w:pPr>
              <w:spacing w:line="240" w:lineRule="auto"/>
              <w:jc w:val="center"/>
            </w:pPr>
            <w:r>
              <w:t>Contar con reglamentación necesaria y eficiente</w:t>
            </w:r>
          </w:p>
        </w:tc>
        <w:tc>
          <w:tcPr>
            <w:tcW w:w="2804" w:type="dxa"/>
            <w:vAlign w:val="center"/>
          </w:tcPr>
          <w:p w14:paraId="42792659" w14:textId="215F3383" w:rsidR="001C51ED" w:rsidRDefault="00B04626" w:rsidP="000E0CAB">
            <w:pPr>
              <w:spacing w:line="240" w:lineRule="auto"/>
              <w:jc w:val="center"/>
            </w:pPr>
            <w:r>
              <w:t>Reglamentos realizados y revisados</w:t>
            </w:r>
          </w:p>
        </w:tc>
        <w:tc>
          <w:tcPr>
            <w:tcW w:w="2768" w:type="dxa"/>
            <w:vAlign w:val="center"/>
          </w:tcPr>
          <w:p w14:paraId="54481F9E" w14:textId="412410A7" w:rsidR="00B04626" w:rsidRDefault="001411BE" w:rsidP="00DD2E26">
            <w:pPr>
              <w:spacing w:line="240" w:lineRule="auto"/>
            </w:pPr>
            <w:r>
              <w:t>8 reglamentos elaborados</w:t>
            </w:r>
          </w:p>
        </w:tc>
      </w:tr>
      <w:tr w:rsidR="000A13C9" w:rsidRPr="00F92611" w14:paraId="50DF1DAC" w14:textId="77777777" w:rsidTr="00CB2797">
        <w:trPr>
          <w:trHeight w:val="838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73BF6B9A" w14:textId="22BA151C" w:rsidR="000A13C9" w:rsidRPr="003C406B" w:rsidRDefault="000A13C9" w:rsidP="00D7072D">
            <w:pPr>
              <w:spacing w:line="240" w:lineRule="auto"/>
              <w:jc w:val="center"/>
            </w:pPr>
            <w:r w:rsidRPr="003C406B">
              <w:t>Dirección de Promoción Económica</w:t>
            </w:r>
          </w:p>
        </w:tc>
        <w:tc>
          <w:tcPr>
            <w:tcW w:w="2515" w:type="dxa"/>
            <w:vAlign w:val="center"/>
          </w:tcPr>
          <w:p w14:paraId="561FFC36" w14:textId="77777777" w:rsidR="000A13C9" w:rsidRPr="003E2ADB" w:rsidRDefault="002A568B" w:rsidP="000E0CAB">
            <w:pPr>
              <w:spacing w:line="240" w:lineRule="auto"/>
              <w:jc w:val="center"/>
            </w:pPr>
            <w:r>
              <w:t>Gobierno impulsor</w:t>
            </w:r>
          </w:p>
        </w:tc>
        <w:tc>
          <w:tcPr>
            <w:tcW w:w="3217" w:type="dxa"/>
            <w:vAlign w:val="center"/>
          </w:tcPr>
          <w:p w14:paraId="5012C75F" w14:textId="58FF6D2C" w:rsidR="000A13C9" w:rsidRPr="003E2ADB" w:rsidRDefault="009A2C32" w:rsidP="00CB2797">
            <w:pPr>
              <w:spacing w:line="240" w:lineRule="auto"/>
              <w:jc w:val="center"/>
            </w:pPr>
            <w:r>
              <w:t>Buscar mayor inversión y construcción de unidades comerciales</w:t>
            </w:r>
          </w:p>
        </w:tc>
        <w:tc>
          <w:tcPr>
            <w:tcW w:w="2804" w:type="dxa"/>
            <w:vAlign w:val="center"/>
          </w:tcPr>
          <w:p w14:paraId="1C74AEA1" w14:textId="78E0D168" w:rsidR="000A13C9" w:rsidRPr="003E2ADB" w:rsidRDefault="002A568B" w:rsidP="000E0CAB">
            <w:pPr>
              <w:spacing w:line="240" w:lineRule="auto"/>
              <w:jc w:val="center"/>
            </w:pPr>
            <w:r>
              <w:t>A</w:t>
            </w:r>
            <w:r w:rsidR="00C33645">
              <w:t>vances en el proyecto</w:t>
            </w:r>
          </w:p>
        </w:tc>
        <w:tc>
          <w:tcPr>
            <w:tcW w:w="2768" w:type="dxa"/>
          </w:tcPr>
          <w:p w14:paraId="3EEE23C5" w14:textId="6B9822EC" w:rsidR="000A13C9" w:rsidRPr="003E2ADB" w:rsidRDefault="009A2C32" w:rsidP="00167F7E">
            <w:pPr>
              <w:spacing w:line="240" w:lineRule="auto"/>
              <w:jc w:val="both"/>
            </w:pPr>
            <w:r>
              <w:rPr>
                <w:szCs w:val="28"/>
              </w:rPr>
              <w:t xml:space="preserve">Presentación </w:t>
            </w:r>
            <w:r w:rsidR="00167F7E">
              <w:rPr>
                <w:szCs w:val="28"/>
              </w:rPr>
              <w:t>en redes oficiales “</w:t>
            </w:r>
            <w:r>
              <w:rPr>
                <w:szCs w:val="28"/>
              </w:rPr>
              <w:t>Visión El Salto 2035 C</w:t>
            </w:r>
            <w:r w:rsidR="002A568B" w:rsidRPr="002A568B">
              <w:rPr>
                <w:szCs w:val="28"/>
              </w:rPr>
              <w:t xml:space="preserve">orredor </w:t>
            </w:r>
            <w:r w:rsidR="002A568B" w:rsidRPr="002A568B">
              <w:rPr>
                <w:b/>
                <w:bCs/>
                <w:szCs w:val="28"/>
              </w:rPr>
              <w:t>Pinta-Sur</w:t>
            </w:r>
            <w:r w:rsidR="00167F7E">
              <w:rPr>
                <w:b/>
                <w:bCs/>
                <w:szCs w:val="28"/>
              </w:rPr>
              <w:t>”</w:t>
            </w:r>
          </w:p>
        </w:tc>
      </w:tr>
      <w:tr w:rsidR="005B57A3" w:rsidRPr="00F92611" w14:paraId="38E356FB" w14:textId="77777777" w:rsidTr="000E0CAB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</w:tcPr>
          <w:p w14:paraId="1A8238E9" w14:textId="77777777" w:rsidR="005B57A3" w:rsidRPr="003C406B" w:rsidRDefault="005B57A3" w:rsidP="00D7072D">
            <w:pPr>
              <w:spacing w:line="240" w:lineRule="auto"/>
              <w:jc w:val="center"/>
            </w:pPr>
            <w:r w:rsidRPr="003C406B">
              <w:t xml:space="preserve">Jefatura de Fomento al Empleo y </w:t>
            </w:r>
            <w:proofErr w:type="spellStart"/>
            <w:r w:rsidRPr="003C406B">
              <w:t>Emprendurísmo</w:t>
            </w:r>
            <w:proofErr w:type="spellEnd"/>
          </w:p>
        </w:tc>
        <w:tc>
          <w:tcPr>
            <w:tcW w:w="2515" w:type="dxa"/>
            <w:vAlign w:val="center"/>
          </w:tcPr>
          <w:p w14:paraId="4BAC4F4D" w14:textId="77777777" w:rsidR="005B57A3" w:rsidRDefault="005B57A3" w:rsidP="000E0CAB">
            <w:pPr>
              <w:spacing w:line="240" w:lineRule="auto"/>
              <w:jc w:val="center"/>
            </w:pPr>
            <w:r>
              <w:t>Desarrollo económico en la población</w:t>
            </w:r>
          </w:p>
        </w:tc>
        <w:tc>
          <w:tcPr>
            <w:tcW w:w="3217" w:type="dxa"/>
            <w:vAlign w:val="center"/>
          </w:tcPr>
          <w:p w14:paraId="21C76D36" w14:textId="64AB1AB5" w:rsidR="005B57A3" w:rsidRDefault="005B57A3" w:rsidP="00CB2797">
            <w:pPr>
              <w:spacing w:line="240" w:lineRule="auto"/>
              <w:jc w:val="center"/>
            </w:pPr>
            <w:r>
              <w:t>Programa de empleo temporal</w:t>
            </w:r>
          </w:p>
        </w:tc>
        <w:tc>
          <w:tcPr>
            <w:tcW w:w="2804" w:type="dxa"/>
            <w:vAlign w:val="center"/>
          </w:tcPr>
          <w:p w14:paraId="2117A17B" w14:textId="4E9E09A5" w:rsidR="005B57A3" w:rsidRDefault="005B57A3" w:rsidP="000E0CAB">
            <w:pPr>
              <w:spacing w:line="240" w:lineRule="auto"/>
              <w:jc w:val="center"/>
            </w:pPr>
            <w:r>
              <w:t>Número de personas beneficiadas</w:t>
            </w:r>
          </w:p>
        </w:tc>
        <w:tc>
          <w:tcPr>
            <w:tcW w:w="2768" w:type="dxa"/>
            <w:vAlign w:val="center"/>
          </w:tcPr>
          <w:p w14:paraId="231D5F72" w14:textId="1670138F" w:rsidR="005B57A3" w:rsidRDefault="003C406B" w:rsidP="00CB2797">
            <w:pPr>
              <w:spacing w:line="240" w:lineRule="auto"/>
            </w:pPr>
            <w:r>
              <w:t>61</w:t>
            </w:r>
            <w:r w:rsidR="002A568B">
              <w:t xml:space="preserve"> personas beneficiadas</w:t>
            </w:r>
          </w:p>
        </w:tc>
      </w:tr>
      <w:tr w:rsidR="00D7072D" w:rsidRPr="00F92611" w14:paraId="409DC2FE" w14:textId="77777777" w:rsidTr="000E0CAB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</w:tcPr>
          <w:p w14:paraId="30567B4F" w14:textId="46D82C5D" w:rsidR="00D7072D" w:rsidRPr="003C406B" w:rsidRDefault="00D7072D" w:rsidP="00D7072D">
            <w:pPr>
              <w:spacing w:line="240" w:lineRule="auto"/>
              <w:jc w:val="center"/>
            </w:pPr>
            <w:r>
              <w:t>Dirección de Padrón y Licencias</w:t>
            </w:r>
          </w:p>
        </w:tc>
        <w:tc>
          <w:tcPr>
            <w:tcW w:w="2515" w:type="dxa"/>
            <w:vAlign w:val="center"/>
          </w:tcPr>
          <w:p w14:paraId="00C5598C" w14:textId="30BB7DFE" w:rsidR="00D7072D" w:rsidRDefault="00C33645" w:rsidP="000E0CAB">
            <w:pPr>
              <w:spacing w:line="240" w:lineRule="auto"/>
              <w:jc w:val="center"/>
            </w:pPr>
            <w:r>
              <w:t>Impulso al comercio y sector empresarial</w:t>
            </w:r>
          </w:p>
        </w:tc>
        <w:tc>
          <w:tcPr>
            <w:tcW w:w="3217" w:type="dxa"/>
            <w:vAlign w:val="center"/>
          </w:tcPr>
          <w:p w14:paraId="2E090D27" w14:textId="5293D090" w:rsidR="00D7072D" w:rsidRDefault="00C33645" w:rsidP="00CB2797">
            <w:pPr>
              <w:spacing w:line="240" w:lineRule="auto"/>
              <w:jc w:val="center"/>
            </w:pPr>
            <w:r>
              <w:t>Control de aperturas y cambios de unidades económicas</w:t>
            </w:r>
          </w:p>
        </w:tc>
        <w:tc>
          <w:tcPr>
            <w:tcW w:w="2804" w:type="dxa"/>
            <w:vAlign w:val="center"/>
          </w:tcPr>
          <w:p w14:paraId="2C4A5AFA" w14:textId="550FE25F" w:rsidR="00D7072D" w:rsidRDefault="00C33645" w:rsidP="000E0CAB">
            <w:pPr>
              <w:spacing w:line="240" w:lineRule="auto"/>
              <w:jc w:val="center"/>
            </w:pPr>
            <w:r>
              <w:t xml:space="preserve">Aperturas y movimientos </w:t>
            </w:r>
          </w:p>
        </w:tc>
        <w:tc>
          <w:tcPr>
            <w:tcW w:w="2768" w:type="dxa"/>
            <w:vAlign w:val="center"/>
          </w:tcPr>
          <w:p w14:paraId="459D0F13" w14:textId="77777777" w:rsidR="00D325CE" w:rsidRDefault="00D325CE" w:rsidP="00D325CE">
            <w:pPr>
              <w:pStyle w:val="Sinespaciado"/>
            </w:pPr>
            <w:r>
              <w:t>65 aperturas</w:t>
            </w:r>
          </w:p>
          <w:p w14:paraId="1FDE7879" w14:textId="39DF4669" w:rsidR="00D325CE" w:rsidRDefault="00D325CE" w:rsidP="00D325CE">
            <w:pPr>
              <w:pStyle w:val="Sinespaciado"/>
            </w:pPr>
            <w:r>
              <w:t>474 refrendos</w:t>
            </w:r>
          </w:p>
          <w:p w14:paraId="3B90E494" w14:textId="301351C6" w:rsidR="00D325CE" w:rsidRDefault="00D325CE" w:rsidP="00D325CE">
            <w:pPr>
              <w:pStyle w:val="Sinespaciado"/>
            </w:pPr>
            <w:r>
              <w:t xml:space="preserve">126 inspecciones </w:t>
            </w:r>
          </w:p>
        </w:tc>
      </w:tr>
      <w:tr w:rsidR="000E0CAB" w:rsidRPr="00F92611" w14:paraId="52FF834A" w14:textId="77777777" w:rsidTr="000E0CAB">
        <w:trPr>
          <w:trHeight w:val="834"/>
          <w:jc w:val="center"/>
        </w:trPr>
        <w:tc>
          <w:tcPr>
            <w:tcW w:w="2348" w:type="dxa"/>
            <w:shd w:val="clear" w:color="auto" w:fill="FFFFFF" w:themeFill="background1"/>
          </w:tcPr>
          <w:p w14:paraId="64E974FD" w14:textId="77777777" w:rsidR="00D7072D" w:rsidRDefault="00D7072D" w:rsidP="00D7072D">
            <w:pPr>
              <w:spacing w:line="240" w:lineRule="auto"/>
              <w:jc w:val="center"/>
            </w:pPr>
          </w:p>
          <w:p w14:paraId="55B3BAC7" w14:textId="6B3A0605" w:rsidR="000E0CAB" w:rsidRPr="003C406B" w:rsidRDefault="000E0CAB" w:rsidP="00167F7E">
            <w:pPr>
              <w:spacing w:line="240" w:lineRule="auto"/>
              <w:jc w:val="center"/>
            </w:pPr>
            <w:r>
              <w:t>Órgano interno de control</w:t>
            </w:r>
          </w:p>
        </w:tc>
        <w:tc>
          <w:tcPr>
            <w:tcW w:w="2515" w:type="dxa"/>
            <w:vAlign w:val="center"/>
          </w:tcPr>
          <w:p w14:paraId="6B115954" w14:textId="7974439B" w:rsidR="000E0CAB" w:rsidRDefault="00F72186" w:rsidP="000E0CAB">
            <w:pPr>
              <w:spacing w:line="240" w:lineRule="auto"/>
              <w:jc w:val="center"/>
            </w:pPr>
            <w:r>
              <w:t>Contraloría eficiente</w:t>
            </w:r>
          </w:p>
        </w:tc>
        <w:tc>
          <w:tcPr>
            <w:tcW w:w="3217" w:type="dxa"/>
            <w:vAlign w:val="center"/>
          </w:tcPr>
          <w:p w14:paraId="139CE115" w14:textId="6F681802" w:rsidR="000E0CAB" w:rsidRDefault="00F72186" w:rsidP="00CB2797">
            <w:pPr>
              <w:spacing w:line="240" w:lineRule="auto"/>
              <w:jc w:val="center"/>
            </w:pPr>
            <w:r>
              <w:t>Desarrollar mecanismos para vigilar el buen funcionamiento de gobierno</w:t>
            </w:r>
          </w:p>
        </w:tc>
        <w:tc>
          <w:tcPr>
            <w:tcW w:w="2804" w:type="dxa"/>
            <w:vAlign w:val="center"/>
          </w:tcPr>
          <w:p w14:paraId="047395F5" w14:textId="3089CD35" w:rsidR="000E0CAB" w:rsidRDefault="00F72186" w:rsidP="000E0CAB">
            <w:pPr>
              <w:spacing w:line="240" w:lineRule="auto"/>
              <w:jc w:val="center"/>
            </w:pPr>
            <w:r>
              <w:t>Mecanismos aplicados</w:t>
            </w:r>
          </w:p>
        </w:tc>
        <w:tc>
          <w:tcPr>
            <w:tcW w:w="2768" w:type="dxa"/>
            <w:vAlign w:val="center"/>
          </w:tcPr>
          <w:p w14:paraId="08C37113" w14:textId="77777777" w:rsidR="00F72186" w:rsidRDefault="00F72186" w:rsidP="00F72186">
            <w:pPr>
              <w:spacing w:line="240" w:lineRule="auto"/>
            </w:pPr>
            <w:r>
              <w:t>Revisión de expedientes de ingresos de distintas dependencias</w:t>
            </w:r>
          </w:p>
          <w:p w14:paraId="72E94528" w14:textId="04350FF6" w:rsidR="00F72186" w:rsidRDefault="00F72186" w:rsidP="00F72186">
            <w:pPr>
              <w:spacing w:line="240" w:lineRule="auto"/>
            </w:pPr>
            <w:r>
              <w:t>Seguimiento al buzón de queja ciudadana</w:t>
            </w:r>
          </w:p>
          <w:p w14:paraId="0FC6F18E" w14:textId="77777777" w:rsidR="00D325CE" w:rsidRDefault="00D325CE" w:rsidP="00F72186">
            <w:pPr>
              <w:spacing w:line="240" w:lineRule="auto"/>
            </w:pPr>
          </w:p>
          <w:p w14:paraId="635D8EF5" w14:textId="35581914" w:rsidR="00F72186" w:rsidRDefault="00F72186" w:rsidP="00F72186">
            <w:pPr>
              <w:spacing w:line="240" w:lineRule="auto"/>
            </w:pPr>
            <w:r>
              <w:t>Código de ética y conducta</w:t>
            </w:r>
          </w:p>
          <w:p w14:paraId="39D90457" w14:textId="02D9082E" w:rsidR="00F72186" w:rsidRDefault="00F72186" w:rsidP="00F72186">
            <w:pPr>
              <w:spacing w:line="240" w:lineRule="auto"/>
            </w:pPr>
            <w:r>
              <w:t>Seguimiento a auditoria FORTASEG</w:t>
            </w:r>
          </w:p>
          <w:p w14:paraId="475F3434" w14:textId="23A877D1" w:rsidR="00F72186" w:rsidRDefault="00F72186" w:rsidP="00F72186">
            <w:pPr>
              <w:spacing w:line="240" w:lineRule="auto"/>
            </w:pPr>
            <w:r>
              <w:t>Auditoria a Dirección de Movilidad</w:t>
            </w:r>
          </w:p>
          <w:p w14:paraId="110962DF" w14:textId="04B3317B" w:rsidR="00F72186" w:rsidRDefault="00F72186" w:rsidP="00F72186">
            <w:pPr>
              <w:spacing w:line="240" w:lineRule="auto"/>
            </w:pPr>
            <w:r>
              <w:t>Capacitación a servidores públicos en el código de ética y conducta</w:t>
            </w:r>
          </w:p>
          <w:p w14:paraId="614C9BBD" w14:textId="0D630D56" w:rsidR="00F72186" w:rsidRDefault="00F72186" w:rsidP="00F72186">
            <w:pPr>
              <w:spacing w:line="240" w:lineRule="auto"/>
            </w:pPr>
            <w:r>
              <w:t>Verificación de expedientes de obras públicas</w:t>
            </w:r>
          </w:p>
        </w:tc>
      </w:tr>
      <w:tr w:rsidR="00850D68" w:rsidRPr="00F92611" w14:paraId="0D7468BD" w14:textId="77777777" w:rsidTr="00F504C4">
        <w:trPr>
          <w:trHeight w:val="834"/>
          <w:jc w:val="center"/>
        </w:trPr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A1DD57" w14:textId="31DB5E14" w:rsidR="00850D68" w:rsidRDefault="00850D68" w:rsidP="00D325CE">
            <w:pPr>
              <w:spacing w:line="240" w:lineRule="auto"/>
              <w:jc w:val="center"/>
            </w:pPr>
            <w:r w:rsidRPr="0014293D">
              <w:rPr>
                <w:sz w:val="24"/>
                <w:szCs w:val="24"/>
              </w:rPr>
              <w:lastRenderedPageBreak/>
              <w:t>Dirección de Planeación, Evaluación y Seguimiento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5258D" w14:textId="47B4FC1B" w:rsidR="00850D68" w:rsidRDefault="00850D68" w:rsidP="00D325CE">
            <w:pPr>
              <w:spacing w:line="240" w:lineRule="auto"/>
              <w:jc w:val="center"/>
            </w:pPr>
            <w:r w:rsidRPr="0014293D">
              <w:rPr>
                <w:sz w:val="24"/>
                <w:szCs w:val="24"/>
              </w:rPr>
              <w:t>Monitoreo de las acciones</w:t>
            </w:r>
            <w:r>
              <w:rPr>
                <w:sz w:val="24"/>
                <w:szCs w:val="24"/>
              </w:rPr>
              <w:t xml:space="preserve"> y resultados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85A8" w14:textId="77777777" w:rsidR="00850D68" w:rsidRPr="0014293D" w:rsidRDefault="00850D68" w:rsidP="00D325CE">
            <w:pPr>
              <w:jc w:val="center"/>
              <w:rPr>
                <w:sz w:val="24"/>
                <w:szCs w:val="24"/>
              </w:rPr>
            </w:pPr>
          </w:p>
          <w:p w14:paraId="586E7A72" w14:textId="5680E3F3" w:rsidR="00850D68" w:rsidRDefault="00850D68" w:rsidP="00D325C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Seguimiento del desempeño y resultados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C5ABB" w14:textId="2757C705" w:rsidR="00850D68" w:rsidRDefault="00850D68" w:rsidP="00D325C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Acciones cuantitativas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8050" w14:textId="608D7911" w:rsidR="00850D68" w:rsidRDefault="00850D68" w:rsidP="003372D8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Procesos para cuantificar las acciones, mensuales, trimestrales y semestrales </w:t>
            </w:r>
          </w:p>
        </w:tc>
      </w:tr>
      <w:tr w:rsidR="00850D68" w:rsidRPr="00F92611" w14:paraId="33B38B23" w14:textId="77777777" w:rsidTr="00850D68">
        <w:trPr>
          <w:trHeight w:val="834"/>
          <w:jc w:val="center"/>
        </w:trPr>
        <w:tc>
          <w:tcPr>
            <w:tcW w:w="23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CEBE1D" w14:textId="77777777" w:rsidR="00850D68" w:rsidRPr="0014293D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032E7" w14:textId="0D817C0B" w:rsidR="00850D68" w:rsidRPr="0014293D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Planeación 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DB5FD" w14:textId="679B3E74" w:rsidR="00850D68" w:rsidRPr="0014293D" w:rsidRDefault="00850D68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Procurar que las acciones se alineen al plan municipal de desarrollo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B7E3B" w14:textId="35BDA497" w:rsidR="00850D68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 las acciones 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676AD" w14:textId="76563DA1" w:rsidR="00850D68" w:rsidRDefault="00850D68" w:rsidP="003372D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Procesos concluidos de los programas operativos anuales 2019-2020</w:t>
            </w:r>
          </w:p>
        </w:tc>
      </w:tr>
      <w:tr w:rsidR="00850D68" w:rsidRPr="00F92611" w14:paraId="12D6F25E" w14:textId="77777777" w:rsidTr="00F504C4">
        <w:trPr>
          <w:trHeight w:val="834"/>
          <w:jc w:val="center"/>
        </w:trPr>
        <w:tc>
          <w:tcPr>
            <w:tcW w:w="23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813E3B" w14:textId="77777777" w:rsidR="00850D68" w:rsidRPr="0014293D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D3253" w14:textId="636C64A2" w:rsidR="00850D68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desempeño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92A2" w14:textId="2FDA0B9D" w:rsidR="00850D68" w:rsidRDefault="00850D68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el programa anual de evaluación 2019-2020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6540D" w14:textId="0DBC98CB" w:rsidR="00850D68" w:rsidRDefault="00850D68" w:rsidP="00D325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352A9" w14:textId="5959FB1F" w:rsidR="00850D68" w:rsidRDefault="00850D68" w:rsidP="003372D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Concluido, dado a conocer a dependencias municipales </w:t>
            </w:r>
          </w:p>
        </w:tc>
      </w:tr>
    </w:tbl>
    <w:p w14:paraId="048CA85D" w14:textId="71E4392E" w:rsidR="00F6788A" w:rsidRDefault="00F6788A" w:rsidP="00DD2E26">
      <w:pPr>
        <w:spacing w:line="240" w:lineRule="auto"/>
      </w:pPr>
    </w:p>
    <w:p w14:paraId="78594247" w14:textId="5D99F2BA" w:rsidR="00AF7E6D" w:rsidRPr="00AF7E6D" w:rsidRDefault="00AF7E6D" w:rsidP="00AF7E6D">
      <w:pPr>
        <w:tabs>
          <w:tab w:val="left" w:pos="9934"/>
        </w:tabs>
      </w:pPr>
      <w:r>
        <w:tab/>
      </w:r>
    </w:p>
    <w:sectPr w:rsidR="00AF7E6D" w:rsidRPr="00AF7E6D" w:rsidSect="008F0247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F124" w14:textId="77777777" w:rsidR="00757A50" w:rsidRDefault="00757A50" w:rsidP="00D779C4">
      <w:pPr>
        <w:spacing w:after="0" w:line="240" w:lineRule="auto"/>
      </w:pPr>
      <w:r>
        <w:separator/>
      </w:r>
    </w:p>
  </w:endnote>
  <w:endnote w:type="continuationSeparator" w:id="0">
    <w:p w14:paraId="7800953B" w14:textId="77777777" w:rsidR="00757A50" w:rsidRDefault="00757A50" w:rsidP="00D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D675" w14:textId="77777777" w:rsidR="00D779C4" w:rsidRPr="00D779C4" w:rsidRDefault="00D779C4" w:rsidP="00D779C4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E24B" w14:textId="77777777" w:rsidR="00757A50" w:rsidRDefault="00757A50" w:rsidP="00D779C4">
      <w:pPr>
        <w:spacing w:after="0" w:line="240" w:lineRule="auto"/>
      </w:pPr>
      <w:r>
        <w:separator/>
      </w:r>
    </w:p>
  </w:footnote>
  <w:footnote w:type="continuationSeparator" w:id="0">
    <w:p w14:paraId="31B55D9F" w14:textId="77777777" w:rsidR="00757A50" w:rsidRDefault="00757A50" w:rsidP="00D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209A" w14:textId="23221CCA" w:rsidR="00074A87" w:rsidRPr="008F0247" w:rsidRDefault="00074A87" w:rsidP="008F0247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8F0247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8752" behindDoc="0" locked="0" layoutInCell="1" allowOverlap="1" wp14:anchorId="78380138" wp14:editId="2F991796">
          <wp:simplePos x="0" y="0"/>
          <wp:positionH relativeFrom="margin">
            <wp:posOffset>282069</wp:posOffset>
          </wp:positionH>
          <wp:positionV relativeFrom="margin">
            <wp:posOffset>-602351</wp:posOffset>
          </wp:positionV>
          <wp:extent cx="1419225" cy="48704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0247">
      <w:rPr>
        <w:b/>
        <w:color w:val="FFFFFF" w:themeColor="background1"/>
        <w:sz w:val="28"/>
        <w:szCs w:val="28"/>
      </w:rPr>
      <w:t>RESULTADOS OCTUBRE 2019 - MARZO 2020</w:t>
    </w:r>
  </w:p>
  <w:p w14:paraId="750A79A0" w14:textId="77777777" w:rsidR="00074A87" w:rsidRPr="003C406B" w:rsidRDefault="00074A87" w:rsidP="008F0247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</w:pPr>
    <w:r w:rsidRPr="003C406B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EJE 1.  EL SALTO COMPETITIVO</w:t>
    </w:r>
  </w:p>
  <w:p w14:paraId="2DE8EC7B" w14:textId="77777777" w:rsidR="00074A87" w:rsidRDefault="00074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6B29"/>
    <w:multiLevelType w:val="hybridMultilevel"/>
    <w:tmpl w:val="C53639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E6E5D"/>
    <w:multiLevelType w:val="hybridMultilevel"/>
    <w:tmpl w:val="7B8AC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325D"/>
    <w:multiLevelType w:val="hybridMultilevel"/>
    <w:tmpl w:val="A24CBF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4"/>
    <w:rsid w:val="000029C8"/>
    <w:rsid w:val="00006894"/>
    <w:rsid w:val="000239DB"/>
    <w:rsid w:val="00042918"/>
    <w:rsid w:val="00053979"/>
    <w:rsid w:val="000635D4"/>
    <w:rsid w:val="00073CB7"/>
    <w:rsid w:val="00074A87"/>
    <w:rsid w:val="00090910"/>
    <w:rsid w:val="00095F8E"/>
    <w:rsid w:val="000A13C9"/>
    <w:rsid w:val="000A6492"/>
    <w:rsid w:val="000D45C8"/>
    <w:rsid w:val="000D6603"/>
    <w:rsid w:val="000D6A31"/>
    <w:rsid w:val="000E0CAB"/>
    <w:rsid w:val="00123B52"/>
    <w:rsid w:val="001411BE"/>
    <w:rsid w:val="00143C84"/>
    <w:rsid w:val="00167F7E"/>
    <w:rsid w:val="0018697F"/>
    <w:rsid w:val="001B21D3"/>
    <w:rsid w:val="001B5FA3"/>
    <w:rsid w:val="001C51ED"/>
    <w:rsid w:val="001C5236"/>
    <w:rsid w:val="002210E9"/>
    <w:rsid w:val="002847FE"/>
    <w:rsid w:val="002A568B"/>
    <w:rsid w:val="002B585B"/>
    <w:rsid w:val="002C777E"/>
    <w:rsid w:val="00312D25"/>
    <w:rsid w:val="003372D8"/>
    <w:rsid w:val="0035778E"/>
    <w:rsid w:val="00387441"/>
    <w:rsid w:val="003C406B"/>
    <w:rsid w:val="003D08BF"/>
    <w:rsid w:val="003D3BA0"/>
    <w:rsid w:val="003E4230"/>
    <w:rsid w:val="003F4C6E"/>
    <w:rsid w:val="00440B8F"/>
    <w:rsid w:val="00444C14"/>
    <w:rsid w:val="00452673"/>
    <w:rsid w:val="004710B4"/>
    <w:rsid w:val="00475345"/>
    <w:rsid w:val="00490D5E"/>
    <w:rsid w:val="00507C9E"/>
    <w:rsid w:val="00513601"/>
    <w:rsid w:val="005356D1"/>
    <w:rsid w:val="0054481C"/>
    <w:rsid w:val="00565589"/>
    <w:rsid w:val="005746D6"/>
    <w:rsid w:val="00576534"/>
    <w:rsid w:val="00576D0F"/>
    <w:rsid w:val="005A3884"/>
    <w:rsid w:val="005B57A3"/>
    <w:rsid w:val="005F1ED5"/>
    <w:rsid w:val="006072C8"/>
    <w:rsid w:val="006A4B14"/>
    <w:rsid w:val="006B06CD"/>
    <w:rsid w:val="006D4AA3"/>
    <w:rsid w:val="006E0D99"/>
    <w:rsid w:val="006E32C1"/>
    <w:rsid w:val="006F0719"/>
    <w:rsid w:val="006F30D9"/>
    <w:rsid w:val="00716C0E"/>
    <w:rsid w:val="00716FFB"/>
    <w:rsid w:val="00736424"/>
    <w:rsid w:val="00736834"/>
    <w:rsid w:val="007439BB"/>
    <w:rsid w:val="00757A50"/>
    <w:rsid w:val="0078540E"/>
    <w:rsid w:val="00791F1A"/>
    <w:rsid w:val="00792E4E"/>
    <w:rsid w:val="007C1745"/>
    <w:rsid w:val="007C7E57"/>
    <w:rsid w:val="007E26BB"/>
    <w:rsid w:val="00814508"/>
    <w:rsid w:val="008378E5"/>
    <w:rsid w:val="00850D68"/>
    <w:rsid w:val="00855ED1"/>
    <w:rsid w:val="008820B3"/>
    <w:rsid w:val="00894084"/>
    <w:rsid w:val="008B1A85"/>
    <w:rsid w:val="008F0247"/>
    <w:rsid w:val="008F0AF1"/>
    <w:rsid w:val="00906ACB"/>
    <w:rsid w:val="00915976"/>
    <w:rsid w:val="00934086"/>
    <w:rsid w:val="00944E47"/>
    <w:rsid w:val="00966A3B"/>
    <w:rsid w:val="00976F9E"/>
    <w:rsid w:val="009A06F7"/>
    <w:rsid w:val="009A2C32"/>
    <w:rsid w:val="009A4DB4"/>
    <w:rsid w:val="009B20B8"/>
    <w:rsid w:val="009C2762"/>
    <w:rsid w:val="009C4C75"/>
    <w:rsid w:val="00A043D5"/>
    <w:rsid w:val="00A044F3"/>
    <w:rsid w:val="00A113CC"/>
    <w:rsid w:val="00A4393F"/>
    <w:rsid w:val="00A766E9"/>
    <w:rsid w:val="00A8748C"/>
    <w:rsid w:val="00A968DC"/>
    <w:rsid w:val="00AA156E"/>
    <w:rsid w:val="00AA4111"/>
    <w:rsid w:val="00AB1878"/>
    <w:rsid w:val="00AB57A2"/>
    <w:rsid w:val="00AD5FF2"/>
    <w:rsid w:val="00AE4071"/>
    <w:rsid w:val="00AF7E6D"/>
    <w:rsid w:val="00B04626"/>
    <w:rsid w:val="00B1016F"/>
    <w:rsid w:val="00B35256"/>
    <w:rsid w:val="00B60E8B"/>
    <w:rsid w:val="00B66BA2"/>
    <w:rsid w:val="00B66EE4"/>
    <w:rsid w:val="00B749C4"/>
    <w:rsid w:val="00B81D40"/>
    <w:rsid w:val="00B87D11"/>
    <w:rsid w:val="00BA23C1"/>
    <w:rsid w:val="00BC318F"/>
    <w:rsid w:val="00BF1E73"/>
    <w:rsid w:val="00BF393B"/>
    <w:rsid w:val="00C30914"/>
    <w:rsid w:val="00C33645"/>
    <w:rsid w:val="00C55155"/>
    <w:rsid w:val="00CA2BDA"/>
    <w:rsid w:val="00CB2797"/>
    <w:rsid w:val="00CC399B"/>
    <w:rsid w:val="00CC73F2"/>
    <w:rsid w:val="00CD37EF"/>
    <w:rsid w:val="00D3027F"/>
    <w:rsid w:val="00D325CE"/>
    <w:rsid w:val="00D7072D"/>
    <w:rsid w:val="00D73D7E"/>
    <w:rsid w:val="00D779C4"/>
    <w:rsid w:val="00DD2E26"/>
    <w:rsid w:val="00DF1B34"/>
    <w:rsid w:val="00E13840"/>
    <w:rsid w:val="00E3625B"/>
    <w:rsid w:val="00E533E1"/>
    <w:rsid w:val="00E85DE6"/>
    <w:rsid w:val="00E9601F"/>
    <w:rsid w:val="00EC6F0F"/>
    <w:rsid w:val="00EC7928"/>
    <w:rsid w:val="00F06FFF"/>
    <w:rsid w:val="00F11B0A"/>
    <w:rsid w:val="00F3155F"/>
    <w:rsid w:val="00F40FED"/>
    <w:rsid w:val="00F61739"/>
    <w:rsid w:val="00F6788A"/>
    <w:rsid w:val="00F72186"/>
    <w:rsid w:val="00F92611"/>
    <w:rsid w:val="00F92AC8"/>
    <w:rsid w:val="00FA022D"/>
    <w:rsid w:val="00FD511E"/>
    <w:rsid w:val="00FE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52FF"/>
  <w15:docId w15:val="{772504C7-C9B5-4D6F-AEE7-135189A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926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9C4"/>
  </w:style>
  <w:style w:type="paragraph" w:styleId="Piedepgina">
    <w:name w:val="footer"/>
    <w:basedOn w:val="Normal"/>
    <w:link w:val="Piedepgina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9C4"/>
  </w:style>
  <w:style w:type="paragraph" w:styleId="Textodeglobo">
    <w:name w:val="Balloon Text"/>
    <w:basedOn w:val="Normal"/>
    <w:link w:val="TextodegloboCar"/>
    <w:uiPriority w:val="99"/>
    <w:semiHidden/>
    <w:unhideWhenUsed/>
    <w:rsid w:val="00BA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88</cp:revision>
  <cp:lastPrinted>2020-07-15T18:58:00Z</cp:lastPrinted>
  <dcterms:created xsi:type="dcterms:W3CDTF">2019-02-27T15:24:00Z</dcterms:created>
  <dcterms:modified xsi:type="dcterms:W3CDTF">2020-07-29T16:35:00Z</dcterms:modified>
</cp:coreProperties>
</file>