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06" w:rsidRPr="009259E6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  <w:r w:rsidR="0053562F" w:rsidRPr="009259E6">
        <w:rPr>
          <w:rFonts w:ascii="Arial" w:hAnsi="Arial" w:cs="Arial"/>
          <w:b/>
        </w:rPr>
        <w:t xml:space="preserve"> DE </w:t>
      </w:r>
      <w:r w:rsidR="003D7CE5">
        <w:rPr>
          <w:rFonts w:ascii="Arial" w:hAnsi="Arial" w:cs="Arial"/>
          <w:b/>
        </w:rPr>
        <w:t>RASTRO Y SERVICIOS COMPLEMENTARIOS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657796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>:</w:t>
      </w:r>
      <w:r w:rsidR="003D7CE5">
        <w:rPr>
          <w:rFonts w:ascii="Arial" w:hAnsi="Arial" w:cs="Arial"/>
        </w:rPr>
        <w:t>3</w:t>
      </w:r>
      <w:r w:rsidR="0053562F" w:rsidRPr="009259E6">
        <w:rPr>
          <w:rFonts w:ascii="Arial" w:hAnsi="Arial" w:cs="Arial"/>
        </w:rPr>
        <w:t xml:space="preserve">0 </w:t>
      </w:r>
      <w:r w:rsidR="00657796">
        <w:rPr>
          <w:rFonts w:ascii="Arial" w:hAnsi="Arial" w:cs="Arial"/>
        </w:rPr>
        <w:t>trece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3D7CE5">
        <w:rPr>
          <w:rFonts w:ascii="Arial" w:hAnsi="Arial" w:cs="Arial"/>
        </w:rPr>
        <w:t xml:space="preserve"> con treinta minutos</w:t>
      </w:r>
      <w:r w:rsidRPr="009259E6">
        <w:rPr>
          <w:rFonts w:ascii="Arial" w:hAnsi="Arial" w:cs="Arial"/>
        </w:rPr>
        <w:t xml:space="preserve">, del día </w:t>
      </w:r>
      <w:r w:rsidR="00F85AF8">
        <w:rPr>
          <w:rFonts w:ascii="Arial" w:hAnsi="Arial" w:cs="Arial"/>
        </w:rPr>
        <w:t xml:space="preserve">Lunes </w:t>
      </w:r>
      <w:r w:rsidRPr="009259E6">
        <w:rPr>
          <w:rFonts w:ascii="Arial" w:hAnsi="Arial" w:cs="Arial"/>
        </w:rPr>
        <w:t>2</w:t>
      </w:r>
      <w:r w:rsidR="00F85AF8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5C2840">
        <w:rPr>
          <w:rFonts w:ascii="Arial" w:hAnsi="Arial" w:cs="Arial"/>
          <w:b/>
        </w:rPr>
        <w:t>Sesión Ordinaria de la Comisión Edilicia de</w:t>
      </w:r>
      <w:r w:rsidR="0053562F" w:rsidRPr="005C2840">
        <w:rPr>
          <w:rFonts w:ascii="Arial" w:hAnsi="Arial" w:cs="Arial"/>
          <w:b/>
        </w:rPr>
        <w:t xml:space="preserve"> </w:t>
      </w:r>
      <w:r w:rsidR="003D7CE5">
        <w:rPr>
          <w:rFonts w:ascii="Arial" w:hAnsi="Arial" w:cs="Arial"/>
          <w:b/>
        </w:rPr>
        <w:t>Rastro y Servicios Complementarios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del Ayuntamiento de El Salto, Jalisco.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Buenos días, compañeros Regidores integrantes de la Comisión de </w:t>
      </w:r>
      <w:r w:rsidR="003D7CE5">
        <w:rPr>
          <w:rFonts w:ascii="Arial" w:hAnsi="Arial" w:cs="Arial"/>
        </w:rPr>
        <w:t>Rastro y Servicios Complementarios</w:t>
      </w:r>
      <w:r w:rsidRPr="009259E6">
        <w:rPr>
          <w:rFonts w:ascii="Arial" w:hAnsi="Arial" w:cs="Arial"/>
          <w:b/>
        </w:rPr>
        <w:t xml:space="preserve">, </w:t>
      </w:r>
      <w:r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760"/>
      </w:tblGrid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3D7CE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Diego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Hernández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Sepúlveda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3D7CE5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González</w:t>
            </w:r>
            <w:r w:rsidR="003D7CE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F85AF8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65779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Técnico:</w:t>
      </w:r>
      <w:r w:rsidRPr="009259E6">
        <w:rPr>
          <w:rFonts w:ascii="Arial" w:hAnsi="Arial" w:cs="Arial"/>
        </w:rPr>
        <w:t xml:space="preserve"> Presidente </w:t>
      </w:r>
      <w:r w:rsidR="00B50AC7" w:rsidRPr="009259E6">
        <w:rPr>
          <w:rFonts w:ascii="Arial" w:hAnsi="Arial" w:cs="Arial"/>
        </w:rPr>
        <w:t xml:space="preserve">se cuenta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Regidores, de los 5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Presidente:</w:t>
      </w:r>
      <w:r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los Regidores integrantes de la Comisión Edilicia de</w:t>
      </w:r>
      <w:r w:rsidRPr="003D7CE5">
        <w:rPr>
          <w:rFonts w:ascii="Arial" w:hAnsi="Arial" w:cs="Arial"/>
        </w:rPr>
        <w:t xml:space="preserve"> </w:t>
      </w:r>
      <w:r w:rsidR="003D7CE5" w:rsidRPr="003D7CE5">
        <w:rPr>
          <w:rFonts w:ascii="Arial" w:hAnsi="Arial" w:cs="Arial"/>
        </w:rPr>
        <w:t>Rastro y Servicios Complementarios</w:t>
      </w:r>
      <w:r w:rsidRPr="009259E6">
        <w:rPr>
          <w:rFonts w:ascii="Arial" w:hAnsi="Arial" w:cs="Arial"/>
        </w:rPr>
        <w:t>.</w:t>
      </w:r>
      <w:r w:rsidRPr="009259E6">
        <w:rPr>
          <w:rFonts w:ascii="Arial" w:hAnsi="Arial" w:cs="Arial"/>
          <w:b/>
        </w:rPr>
        <w:t xml:space="preserve"> </w:t>
      </w:r>
      <w:r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AC5C06" w:rsidRDefault="00AC5C06" w:rsidP="009259E6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657796" w:rsidRPr="009259E6" w:rsidRDefault="00657796" w:rsidP="009259E6">
      <w:pPr>
        <w:spacing w:after="0"/>
        <w:jc w:val="center"/>
        <w:rPr>
          <w:rFonts w:ascii="Arial" w:hAnsi="Arial" w:cs="Arial"/>
          <w:b/>
          <w:u w:val="single"/>
        </w:rPr>
      </w:pP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Lista y declaración de quórum.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Lectura y en su caso aprobación del Orden del día. </w:t>
      </w:r>
    </w:p>
    <w:p w:rsidR="00AC5C06" w:rsidRPr="009259E6" w:rsidRDefault="00552B6C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AC5C06"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cuenta de las comunicaciones recibidas.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Asuntos varios.</w:t>
      </w:r>
    </w:p>
    <w:p w:rsidR="00AC5C06" w:rsidRPr="009259E6" w:rsidRDefault="00AC5C06" w:rsidP="009259E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Clausura.</w:t>
      </w:r>
    </w:p>
    <w:p w:rsidR="00AC5C06" w:rsidRPr="009259E6" w:rsidRDefault="00AC5C06" w:rsidP="009259E6">
      <w:pPr>
        <w:pStyle w:val="Prrafodelista"/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>Si es de aprobarse el Orden del Día propuesto, favor de manifestarlo levantando su mano, (APROBADO).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>En el desahogo del punto número III.- Lectura y Aprobación del Acta de la Sesión anterior.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lastRenderedPageBreak/>
        <w:t xml:space="preserve">Presidente: </w:t>
      </w:r>
      <w:r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</w:t>
      </w:r>
      <w:r w:rsidR="00132A49" w:rsidRPr="009259E6">
        <w:rPr>
          <w:rFonts w:ascii="Arial" w:hAnsi="Arial" w:cs="Arial"/>
        </w:rPr>
        <w:t>mano</w:t>
      </w:r>
      <w:r w:rsidR="00132A49">
        <w:rPr>
          <w:rFonts w:ascii="Arial" w:hAnsi="Arial" w:cs="Arial"/>
        </w:rPr>
        <w:t xml:space="preserve">...  </w:t>
      </w:r>
      <w:r w:rsidRPr="009259E6">
        <w:rPr>
          <w:rFonts w:ascii="Arial" w:hAnsi="Arial" w:cs="Arial"/>
        </w:rPr>
        <w:t xml:space="preserve">APROBADO. 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5C2840" w:rsidRDefault="00AC5C06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2840">
        <w:rPr>
          <w:rFonts w:ascii="Arial" w:hAnsi="Arial" w:cs="Arial"/>
          <w:b/>
        </w:rPr>
        <w:t xml:space="preserve">                    </w:t>
      </w:r>
      <w:r w:rsidR="005C2840" w:rsidRPr="00AC1769">
        <w:rPr>
          <w:rFonts w:ascii="Arial" w:hAnsi="Arial" w:cs="Arial"/>
          <w:b/>
        </w:rPr>
        <w:t xml:space="preserve">Secretario Técnico: </w:t>
      </w:r>
      <w:r w:rsidR="005C2840"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2840" w:rsidRDefault="005C2840" w:rsidP="005C2840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C2840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C2840" w:rsidRPr="005C2840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C2840" w:rsidRPr="00AC1769" w:rsidRDefault="005C2840" w:rsidP="005C2840">
      <w:pPr>
        <w:spacing w:after="0"/>
        <w:jc w:val="both"/>
        <w:rPr>
          <w:rFonts w:ascii="Arial" w:hAnsi="Arial" w:cs="Arial"/>
        </w:rPr>
      </w:pP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5C2840" w:rsidRPr="00AC1769" w:rsidRDefault="005C2840" w:rsidP="005C2840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Punto número </w:t>
      </w:r>
      <w:r w:rsidR="00A4162F">
        <w:rPr>
          <w:rFonts w:ascii="Arial" w:hAnsi="Arial" w:cs="Arial"/>
        </w:rPr>
        <w:t>VI.</w:t>
      </w:r>
      <w:r w:rsidRPr="00AC1769">
        <w:rPr>
          <w:rFonts w:ascii="Arial" w:hAnsi="Arial" w:cs="Arial"/>
        </w:rPr>
        <w:t>- C</w:t>
      </w:r>
      <w:r w:rsidR="00132A4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657796">
        <w:rPr>
          <w:rFonts w:ascii="Arial" w:hAnsi="Arial" w:cs="Arial"/>
        </w:rPr>
        <w:t>3</w:t>
      </w:r>
      <w:r w:rsidRPr="009259E6">
        <w:rPr>
          <w:rFonts w:ascii="Arial" w:hAnsi="Arial" w:cs="Arial"/>
        </w:rPr>
        <w:t>:</w:t>
      </w:r>
      <w:r w:rsidR="004540E5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0 </w:t>
      </w:r>
      <w:r w:rsidR="00657796">
        <w:rPr>
          <w:rFonts w:ascii="Arial" w:hAnsi="Arial" w:cs="Arial"/>
        </w:rPr>
        <w:t xml:space="preserve">trece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4540E5">
        <w:rPr>
          <w:rFonts w:ascii="Arial" w:hAnsi="Arial" w:cs="Arial"/>
        </w:rPr>
        <w:t xml:space="preserve">cincuenta </w:t>
      </w:r>
      <w:r w:rsidRPr="009259E6">
        <w:rPr>
          <w:rFonts w:ascii="Arial" w:hAnsi="Arial" w:cs="Arial"/>
        </w:rPr>
        <w:t>minutos, del día 2</w:t>
      </w:r>
      <w:r w:rsidR="00132A49">
        <w:rPr>
          <w:rFonts w:ascii="Arial" w:hAnsi="Arial" w:cs="Arial"/>
        </w:rPr>
        <w:t>5</w:t>
      </w:r>
      <w:r w:rsidRPr="009259E6">
        <w:rPr>
          <w:rFonts w:ascii="Arial" w:hAnsi="Arial" w:cs="Arial"/>
        </w:rPr>
        <w:t xml:space="preserve"> de marzo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3543"/>
      </w:tblGrid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D4720D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Valentina Sánchez Rubio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657796" w:rsidRDefault="00AC5C06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 Edilicia de</w:t>
            </w:r>
          </w:p>
          <w:p w:rsidR="00AC5C06" w:rsidRPr="00EA00E1" w:rsidRDefault="004540E5" w:rsidP="004540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Rastro y Servicio</w:t>
            </w:r>
            <w:r w:rsidR="00877DC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Complementarios</w:t>
            </w:r>
            <w:r w:rsidR="00D4720D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506B90" w:rsidP="004540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Diego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Sepúlveda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DC5ED3" w:rsidP="004540E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g. 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Joel </w:t>
            </w:r>
            <w:r w:rsidR="004230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  <w:r w:rsidR="004540E5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4230EE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Díaz</w:t>
            </w:r>
            <w:r w:rsidR="00412D1C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AC5C06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AC5C06" w:rsidRPr="00EA00E1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3543" w:type="dxa"/>
            <w:shd w:val="clear" w:color="000000" w:fill="FFFFFF"/>
            <w:noWrap/>
            <w:vAlign w:val="bottom"/>
          </w:tcPr>
          <w:p w:rsidR="00EA00E1" w:rsidRPr="00EA00E1" w:rsidRDefault="00EA00E1" w:rsidP="0065779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65779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Minerva Franco Salazar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A00E1" w:rsidRPr="00EA00E1" w:rsidTr="00132A49">
        <w:trPr>
          <w:trHeight w:val="300"/>
          <w:jc w:val="center"/>
        </w:trPr>
        <w:tc>
          <w:tcPr>
            <w:tcW w:w="4169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3" w:type="dxa"/>
            <w:shd w:val="clear" w:color="000000" w:fill="FFFFFF"/>
            <w:noWrap/>
            <w:vAlign w:val="bottom"/>
            <w:hideMark/>
          </w:tcPr>
          <w:p w:rsidR="00EA00E1" w:rsidRPr="00EA00E1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9259E6" w:rsidRDefault="00A4162F" w:rsidP="00EA00E1">
      <w:pPr>
        <w:spacing w:after="0"/>
        <w:rPr>
          <w:rFonts w:ascii="Arial" w:hAnsi="Arial" w:cs="Arial"/>
        </w:rPr>
      </w:pPr>
    </w:p>
    <w:sectPr w:rsidR="00DD3923" w:rsidRPr="009259E6" w:rsidSect="009259E6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6"/>
    <w:rsid w:val="00132A49"/>
    <w:rsid w:val="00176193"/>
    <w:rsid w:val="00204D84"/>
    <w:rsid w:val="002811B1"/>
    <w:rsid w:val="002F1B62"/>
    <w:rsid w:val="002F5229"/>
    <w:rsid w:val="003B5B5E"/>
    <w:rsid w:val="003D7CE5"/>
    <w:rsid w:val="00412D1C"/>
    <w:rsid w:val="004230EE"/>
    <w:rsid w:val="004540E5"/>
    <w:rsid w:val="004542D7"/>
    <w:rsid w:val="00506B90"/>
    <w:rsid w:val="0053562F"/>
    <w:rsid w:val="00552B6C"/>
    <w:rsid w:val="005C0553"/>
    <w:rsid w:val="005C2840"/>
    <w:rsid w:val="00657796"/>
    <w:rsid w:val="00800FFE"/>
    <w:rsid w:val="008511E0"/>
    <w:rsid w:val="00877DCC"/>
    <w:rsid w:val="009259E6"/>
    <w:rsid w:val="0098342D"/>
    <w:rsid w:val="00A4162F"/>
    <w:rsid w:val="00AC5C06"/>
    <w:rsid w:val="00B50AC7"/>
    <w:rsid w:val="00D4720D"/>
    <w:rsid w:val="00DC5ED3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3D583-C0A5-471C-BB1D-A964BD6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2019-03-28T16:13:00Z</dcterms:created>
  <dcterms:modified xsi:type="dcterms:W3CDTF">2019-04-12T16:31:00Z</dcterms:modified>
</cp:coreProperties>
</file>