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3B406A">
        <w:rPr>
          <w:rFonts w:ascii="Arial" w:hAnsi="Arial" w:cs="Arial"/>
          <w:b/>
        </w:rPr>
        <w:t>SALUD, HIGIENE Y PREVENCION A LAS ADICCIONES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3B406A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657796">
        <w:rPr>
          <w:rFonts w:ascii="Arial" w:hAnsi="Arial" w:cs="Arial"/>
        </w:rPr>
        <w:t>0</w:t>
      </w:r>
      <w:r w:rsidR="0053562F" w:rsidRPr="009259E6">
        <w:rPr>
          <w:rFonts w:ascii="Arial" w:hAnsi="Arial" w:cs="Arial"/>
        </w:rPr>
        <w:t xml:space="preserve">0 </w:t>
      </w:r>
      <w:r w:rsidR="003B406A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horas, del día </w:t>
      </w:r>
      <w:r w:rsidR="00F85AF8">
        <w:rPr>
          <w:rFonts w:ascii="Arial" w:hAnsi="Arial" w:cs="Arial"/>
        </w:rPr>
        <w:t xml:space="preserve">Lunes </w:t>
      </w:r>
      <w:r w:rsidRPr="009259E6">
        <w:rPr>
          <w:rFonts w:ascii="Arial" w:hAnsi="Arial" w:cs="Arial"/>
        </w:rPr>
        <w:t>2</w:t>
      </w:r>
      <w:r w:rsidR="00F85AF8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3B406A">
        <w:rPr>
          <w:rFonts w:ascii="Arial" w:hAnsi="Arial" w:cs="Arial"/>
          <w:b/>
        </w:rPr>
        <w:t>Salud, Higiene y Prevención a las Adicciones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3B406A">
        <w:rPr>
          <w:rFonts w:ascii="Arial" w:hAnsi="Arial" w:cs="Arial"/>
        </w:rPr>
        <w:t>Salud, Higiene y Prevención a las Adicciones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760"/>
      </w:tblGrid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3B406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3B406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B406A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B406A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3B406A" w:rsidRPr="003B406A">
        <w:rPr>
          <w:rFonts w:ascii="Arial" w:hAnsi="Arial" w:cs="Arial"/>
        </w:rPr>
        <w:t>Salud, Higiene y Prevención a las Adicciones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657796" w:rsidRPr="009259E6" w:rsidRDefault="00657796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lastRenderedPageBreak/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520A9C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3B406A">
        <w:rPr>
          <w:rFonts w:ascii="Arial" w:hAnsi="Arial" w:cs="Arial"/>
        </w:rPr>
        <w:t>4</w:t>
      </w:r>
      <w:r w:rsidRPr="009259E6">
        <w:rPr>
          <w:rFonts w:ascii="Arial" w:hAnsi="Arial" w:cs="Arial"/>
        </w:rPr>
        <w:t>:</w:t>
      </w:r>
      <w:r w:rsidR="00657796">
        <w:rPr>
          <w:rFonts w:ascii="Arial" w:hAnsi="Arial" w:cs="Arial"/>
        </w:rPr>
        <w:t>2</w:t>
      </w:r>
      <w:r w:rsidRPr="009259E6">
        <w:rPr>
          <w:rFonts w:ascii="Arial" w:hAnsi="Arial" w:cs="Arial"/>
        </w:rPr>
        <w:t xml:space="preserve">0 </w:t>
      </w:r>
      <w:r w:rsidR="003B406A">
        <w:rPr>
          <w:rFonts w:ascii="Arial" w:hAnsi="Arial" w:cs="Arial"/>
        </w:rPr>
        <w:t>catorce</w:t>
      </w:r>
      <w:r w:rsidR="00657796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657796">
        <w:rPr>
          <w:rFonts w:ascii="Arial" w:hAnsi="Arial" w:cs="Arial"/>
        </w:rPr>
        <w:t>veinte</w:t>
      </w:r>
      <w:r w:rsidR="00132A49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minutos, del día 2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AC5C06" w:rsidRPr="00EA00E1" w:rsidTr="00095353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Valentina Sánchez Rubio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657796" w:rsidRDefault="00AC5C06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 Edilicia de</w:t>
            </w:r>
          </w:p>
          <w:p w:rsidR="00AC5C06" w:rsidRPr="00EA00E1" w:rsidRDefault="003B406A" w:rsidP="003B406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Salud, Higiene y Prevención a las Adicciones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3B406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3B406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Diego Hernández Sepúlveda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3B406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3B406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 Alejandra de Dios Quezada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EA00E1" w:rsidRDefault="00EA00E1" w:rsidP="003B406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</w:t>
            </w:r>
            <w:r w:rsidR="003B406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esar López Hernández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EA00E1" w:rsidRDefault="00EA00E1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095353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520A9C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6"/>
    <w:rsid w:val="00095353"/>
    <w:rsid w:val="00132A49"/>
    <w:rsid w:val="00176193"/>
    <w:rsid w:val="00204D84"/>
    <w:rsid w:val="002811B1"/>
    <w:rsid w:val="002F1B62"/>
    <w:rsid w:val="002F5229"/>
    <w:rsid w:val="003B406A"/>
    <w:rsid w:val="003B5B5E"/>
    <w:rsid w:val="00412D1C"/>
    <w:rsid w:val="004542D7"/>
    <w:rsid w:val="00506B90"/>
    <w:rsid w:val="00520A9C"/>
    <w:rsid w:val="0053562F"/>
    <w:rsid w:val="00552B6C"/>
    <w:rsid w:val="005C0553"/>
    <w:rsid w:val="005C2840"/>
    <w:rsid w:val="00657796"/>
    <w:rsid w:val="00800FFE"/>
    <w:rsid w:val="0082412E"/>
    <w:rsid w:val="008511E0"/>
    <w:rsid w:val="009259E6"/>
    <w:rsid w:val="0098342D"/>
    <w:rsid w:val="00AC5C06"/>
    <w:rsid w:val="00B50AC7"/>
    <w:rsid w:val="00D4720D"/>
    <w:rsid w:val="00DC5ED3"/>
    <w:rsid w:val="00EA00E1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8238D-7672-4F91-8856-0069D98B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15</cp:revision>
  <dcterms:created xsi:type="dcterms:W3CDTF">2019-03-28T16:13:00Z</dcterms:created>
  <dcterms:modified xsi:type="dcterms:W3CDTF">2019-04-12T16:32:00Z</dcterms:modified>
</cp:coreProperties>
</file>