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5A" w:rsidRPr="009978AB" w:rsidRDefault="003B0B5A" w:rsidP="009978A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978AB">
        <w:rPr>
          <w:rFonts w:ascii="Arial" w:hAnsi="Arial" w:cs="Arial"/>
          <w:b/>
        </w:rPr>
        <w:t>ACTA DE LA SESIÓN ORDINARIA DE LA COMISIÓN EDIL</w:t>
      </w:r>
      <w:r w:rsidR="009978AB">
        <w:rPr>
          <w:rFonts w:ascii="Arial" w:hAnsi="Arial" w:cs="Arial"/>
          <w:b/>
        </w:rPr>
        <w:t>ICIA DE INSPECCIÓN Y VIGILANCIA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 xml:space="preserve">En el Municipio de El  Salto Jalisco, siendo las </w:t>
      </w:r>
      <w:r w:rsidR="009978AB">
        <w:rPr>
          <w:rFonts w:ascii="Arial" w:hAnsi="Arial" w:cs="Arial"/>
        </w:rPr>
        <w:t>11</w:t>
      </w:r>
      <w:r w:rsidRPr="009978AB">
        <w:rPr>
          <w:rFonts w:ascii="Arial" w:hAnsi="Arial" w:cs="Arial"/>
        </w:rPr>
        <w:t xml:space="preserve">:30 </w:t>
      </w:r>
      <w:r w:rsidR="009978AB">
        <w:rPr>
          <w:rFonts w:ascii="Arial" w:hAnsi="Arial" w:cs="Arial"/>
        </w:rPr>
        <w:t>once</w:t>
      </w:r>
      <w:r w:rsidRPr="009978AB">
        <w:rPr>
          <w:rFonts w:ascii="Arial" w:hAnsi="Arial" w:cs="Arial"/>
        </w:rPr>
        <w:t xml:space="preserve"> horas co</w:t>
      </w:r>
      <w:r w:rsidR="00AD027A" w:rsidRPr="009978AB">
        <w:rPr>
          <w:rFonts w:ascii="Arial" w:hAnsi="Arial" w:cs="Arial"/>
        </w:rPr>
        <w:t>n treinta minutos, del día Miércoles</w:t>
      </w:r>
      <w:r w:rsidRPr="009978AB">
        <w:rPr>
          <w:rFonts w:ascii="Arial" w:hAnsi="Arial" w:cs="Arial"/>
        </w:rPr>
        <w:t xml:space="preserve"> 20 de Marzo del presente año, estando reunidos en la Sala del Ayuntamiento del Palacio Municipal de El Salto, Jalisco, ubicada en el tercer piso de la finca marcada con el número 1 de la calle Ramón Corona, zona centro, a fin de llevar a cabo la </w:t>
      </w:r>
      <w:r w:rsidRPr="009978AB">
        <w:rPr>
          <w:rFonts w:ascii="Arial" w:hAnsi="Arial" w:cs="Arial"/>
          <w:b/>
        </w:rPr>
        <w:t xml:space="preserve">Sesión Ordinaria de la Comisión Edilicia de Inspección y vigilancia, </w:t>
      </w:r>
      <w:r w:rsidRPr="009978AB">
        <w:rPr>
          <w:rFonts w:ascii="Arial" w:hAnsi="Arial" w:cs="Arial"/>
        </w:rPr>
        <w:t>del Ayuntamiento de El Salto, Jalisco.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>Presidente:</w:t>
      </w:r>
      <w:r w:rsidRPr="009978AB">
        <w:rPr>
          <w:rFonts w:ascii="Arial" w:hAnsi="Arial" w:cs="Arial"/>
        </w:rPr>
        <w:t xml:space="preserve"> Buenos días, compañeros Regidores integrantes de la Comisión de Inspección y vigilancia,</w:t>
      </w:r>
      <w:r w:rsidRPr="009978AB">
        <w:rPr>
          <w:rFonts w:ascii="Arial" w:hAnsi="Arial" w:cs="Arial"/>
          <w:b/>
        </w:rPr>
        <w:t xml:space="preserve"> </w:t>
      </w:r>
      <w:r w:rsidRPr="009978AB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>Procedemos a nombrar lista de asistencia: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3118"/>
      </w:tblGrid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Presidente. Sofía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Lizeth</w:t>
            </w:r>
            <w:proofErr w:type="spellEnd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Reyes Martínez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2966CC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  <w:r w:rsidR="003B0B5A"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Injustificada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Sind. Héctor Acosta Negrete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2966CC" w:rsidP="002966C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Inasistencia</w:t>
            </w:r>
            <w:r w:rsidR="003B0B5A"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J</w:t>
            </w:r>
            <w:r w:rsidR="003B0B5A"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ustificada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Jorge Arturo arroyo Farías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3B0B5A" w:rsidRPr="009978AB" w:rsidTr="002966C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Gabriela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>Secretario Técnico:</w:t>
      </w:r>
      <w:r w:rsidRPr="009978AB">
        <w:rPr>
          <w:rFonts w:ascii="Arial" w:hAnsi="Arial" w:cs="Arial"/>
        </w:rPr>
        <w:t xml:space="preserve"> Presidente se cuenta con la asistencia de 3 Regidores, de los 5 integrantes de la Comisión.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>Presidente:</w:t>
      </w:r>
      <w:r w:rsidRPr="009978AB">
        <w:rPr>
          <w:rFonts w:ascii="Arial" w:hAnsi="Arial" w:cs="Arial"/>
        </w:rPr>
        <w:t xml:space="preserve"> Se declara que existe  quórum legal para sesionar, con la Asistencia de 3 de los Regidores integr</w:t>
      </w:r>
      <w:r w:rsidR="00AB280F" w:rsidRPr="009978AB">
        <w:rPr>
          <w:rFonts w:ascii="Arial" w:hAnsi="Arial" w:cs="Arial"/>
        </w:rPr>
        <w:t>antes de la Comisión Edilicia de</w:t>
      </w:r>
      <w:r w:rsidRPr="009978AB">
        <w:rPr>
          <w:rFonts w:ascii="Arial" w:hAnsi="Arial" w:cs="Arial"/>
        </w:rPr>
        <w:t xml:space="preserve"> Inspección y vigilancia. Por consiguiente son válidos los acuerdos emanados durante la Sesión.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 xml:space="preserve">En el desahogo del punto número II-. Lectura y en su caso aprobación del orden del día. 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>Se instruye al Secretario Técnico a dar lectura del Orden del Día propuesta.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 xml:space="preserve"> 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  <w:b/>
        </w:rPr>
        <w:t>Secretario Técnico:</w:t>
      </w:r>
    </w:p>
    <w:p w:rsidR="003B0B5A" w:rsidRDefault="003B0B5A" w:rsidP="009978AB">
      <w:pPr>
        <w:spacing w:after="0"/>
        <w:jc w:val="center"/>
        <w:rPr>
          <w:rFonts w:ascii="Arial" w:hAnsi="Arial" w:cs="Arial"/>
          <w:b/>
          <w:u w:val="single"/>
        </w:rPr>
      </w:pPr>
      <w:r w:rsidRPr="009978AB">
        <w:rPr>
          <w:rFonts w:ascii="Arial" w:hAnsi="Arial" w:cs="Arial"/>
          <w:b/>
          <w:u w:val="single"/>
        </w:rPr>
        <w:t>Orden del Día</w:t>
      </w:r>
    </w:p>
    <w:p w:rsidR="002966CC" w:rsidRPr="009978AB" w:rsidRDefault="002966CC" w:rsidP="009978AB">
      <w:pPr>
        <w:spacing w:after="0"/>
        <w:jc w:val="center"/>
        <w:rPr>
          <w:rFonts w:ascii="Arial" w:hAnsi="Arial" w:cs="Arial"/>
          <w:b/>
          <w:u w:val="single"/>
        </w:rPr>
      </w:pP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</w:rPr>
        <w:t>Lista y declaración de quórum.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 xml:space="preserve">Lectura y en su caso aprobación del Orden del día. 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Lectura y Aprobación del Acta de la Sesión anterior.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Lectura y cuenta de las comunicaciones recibidas.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Asuntos varios.</w:t>
      </w:r>
    </w:p>
    <w:p w:rsidR="003B0B5A" w:rsidRPr="009978AB" w:rsidRDefault="003B0B5A" w:rsidP="009978AB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Clausura.</w:t>
      </w:r>
    </w:p>
    <w:p w:rsidR="003B0B5A" w:rsidRPr="009978AB" w:rsidRDefault="003B0B5A" w:rsidP="009978AB">
      <w:pPr>
        <w:pStyle w:val="Prrafodelista"/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</w:rPr>
        <w:t>Es todo, Presidente.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Presidente: </w:t>
      </w:r>
      <w:r w:rsidRPr="009978AB">
        <w:rPr>
          <w:rFonts w:ascii="Arial" w:hAnsi="Arial" w:cs="Arial"/>
        </w:rPr>
        <w:t>Si es de aprobarse el Orden del Día propuesto, favor de manifestarlo levantando su mano, (APROBADO).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Secretario Técnico: </w:t>
      </w:r>
      <w:r w:rsidRPr="009978AB">
        <w:rPr>
          <w:rFonts w:ascii="Arial" w:hAnsi="Arial" w:cs="Arial"/>
        </w:rPr>
        <w:t>En el desahogo del punto número III.- Lectura y Aprobación del Acta de la Sesión anterior.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  <w:r w:rsidRPr="009978AB">
        <w:rPr>
          <w:rFonts w:ascii="Arial" w:hAnsi="Arial" w:cs="Arial"/>
          <w:b/>
        </w:rPr>
        <w:t xml:space="preserve">Presidente: </w:t>
      </w:r>
      <w:r w:rsidRPr="009978AB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mano…APROBADO. 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  <w:b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Secretario Técnico: </w:t>
      </w:r>
      <w:r w:rsidRPr="009978AB">
        <w:rPr>
          <w:rFonts w:ascii="Arial" w:hAnsi="Arial" w:cs="Arial"/>
        </w:rPr>
        <w:t>En el desahogo del punto número IV.- Lectura y cuenta de las comunicaciones recibidas.</w:t>
      </w:r>
    </w:p>
    <w:p w:rsidR="002966CC" w:rsidRPr="00AC1769" w:rsidRDefault="003B0B5A" w:rsidP="002966CC">
      <w:pPr>
        <w:spacing w:after="0"/>
        <w:jc w:val="both"/>
        <w:rPr>
          <w:rFonts w:ascii="Arial" w:hAnsi="Arial" w:cs="Arial"/>
        </w:rPr>
      </w:pPr>
      <w:r w:rsidRPr="009978A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6CC" w:rsidRPr="00AC1769">
        <w:rPr>
          <w:rFonts w:ascii="Arial" w:hAnsi="Arial" w:cs="Arial"/>
        </w:rPr>
        <w:t>Presidente, se da cuenta que hasta el día de hoy no tenemos comunicaciones recibidas.</w:t>
      </w:r>
    </w:p>
    <w:p w:rsidR="002966CC" w:rsidRDefault="002966CC" w:rsidP="002966CC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2966CC" w:rsidRDefault="002966CC" w:rsidP="002966C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2966CC" w:rsidRPr="005C2840" w:rsidRDefault="002966CC" w:rsidP="002966CC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2966CC" w:rsidRPr="00AC1769" w:rsidRDefault="002966CC" w:rsidP="002966CC">
      <w:pPr>
        <w:spacing w:after="0"/>
        <w:jc w:val="both"/>
        <w:rPr>
          <w:rFonts w:ascii="Arial" w:hAnsi="Arial" w:cs="Arial"/>
        </w:rPr>
      </w:pPr>
    </w:p>
    <w:p w:rsidR="002966CC" w:rsidRPr="00AC1769" w:rsidRDefault="002966CC" w:rsidP="002966CC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 voz pasamos al siguiente punto.</w:t>
      </w:r>
    </w:p>
    <w:p w:rsidR="002966CC" w:rsidRPr="00AC1769" w:rsidRDefault="002966CC" w:rsidP="002966CC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>Punto número 6.- Clausura.</w:t>
      </w:r>
    </w:p>
    <w:p w:rsidR="002966CC" w:rsidRDefault="002966CC" w:rsidP="002966CC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 xml:space="preserve">Presidente: </w:t>
      </w:r>
      <w:r w:rsidRPr="009259E6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11</w:t>
      </w:r>
      <w:r w:rsidRPr="009259E6">
        <w:rPr>
          <w:rFonts w:ascii="Arial" w:hAnsi="Arial" w:cs="Arial"/>
        </w:rPr>
        <w:t>:</w:t>
      </w:r>
      <w:r>
        <w:rPr>
          <w:rFonts w:ascii="Arial" w:hAnsi="Arial" w:cs="Arial"/>
        </w:rPr>
        <w:t>52</w:t>
      </w:r>
      <w:r w:rsidRPr="009259E6">
        <w:rPr>
          <w:rFonts w:ascii="Arial" w:hAnsi="Arial" w:cs="Arial"/>
        </w:rPr>
        <w:t xml:space="preserve"> </w:t>
      </w:r>
      <w:r w:rsidRPr="009978AB">
        <w:rPr>
          <w:rFonts w:ascii="Arial" w:hAnsi="Arial" w:cs="Arial"/>
        </w:rPr>
        <w:t>once horas</w:t>
      </w:r>
      <w:r w:rsidRPr="009978AB">
        <w:rPr>
          <w:rFonts w:ascii="Arial" w:hAnsi="Arial" w:cs="Arial"/>
          <w:b/>
        </w:rPr>
        <w:t xml:space="preserve"> </w:t>
      </w:r>
      <w:r w:rsidRPr="009978AB">
        <w:rPr>
          <w:rFonts w:ascii="Arial" w:hAnsi="Arial" w:cs="Arial"/>
        </w:rPr>
        <w:t>con cincuenta y dos minutos con cincuenta y dos minutos</w:t>
      </w:r>
      <w:r w:rsidRPr="009259E6">
        <w:rPr>
          <w:rFonts w:ascii="Arial" w:hAnsi="Arial" w:cs="Arial"/>
        </w:rPr>
        <w:t xml:space="preserve">, del día 20 de marzo de 2019 se da la clausura de la presente </w:t>
      </w:r>
      <w:r>
        <w:rPr>
          <w:rFonts w:ascii="Arial" w:hAnsi="Arial" w:cs="Arial"/>
        </w:rPr>
        <w:t>S</w:t>
      </w:r>
      <w:r w:rsidRPr="009259E6">
        <w:rPr>
          <w:rFonts w:ascii="Arial" w:hAnsi="Arial" w:cs="Arial"/>
        </w:rPr>
        <w:t>esión</w:t>
      </w:r>
      <w:r>
        <w:rPr>
          <w:rFonts w:ascii="Arial" w:hAnsi="Arial" w:cs="Arial"/>
        </w:rPr>
        <w:t>.</w:t>
      </w: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p w:rsidR="003B0B5A" w:rsidRPr="009978AB" w:rsidRDefault="003B0B5A" w:rsidP="009978AB">
      <w:pPr>
        <w:spacing w:after="0"/>
        <w:jc w:val="both"/>
        <w:rPr>
          <w:rFonts w:ascii="Arial" w:hAnsi="Arial" w:cs="Arial"/>
        </w:rPr>
      </w:pP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998"/>
      </w:tblGrid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"2019, EL SALTO, CIUDAD INDUSTRIAL"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Sofía </w:t>
            </w:r>
            <w:proofErr w:type="spellStart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Lizeth</w:t>
            </w:r>
            <w:proofErr w:type="spellEnd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Reyes Martínez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7792" w:type="dxa"/>
            <w:gridSpan w:val="2"/>
            <w:shd w:val="clear" w:color="auto" w:fill="FFFFFF"/>
            <w:noWrap/>
            <w:vAlign w:val="center"/>
            <w:hideMark/>
          </w:tcPr>
          <w:p w:rsidR="002966CC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Presidente de la Comisión</w:t>
            </w:r>
            <w:r w:rsidR="009C019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Edilicia de </w:t>
            </w:r>
          </w:p>
          <w:p w:rsidR="003B0B5A" w:rsidRPr="009978AB" w:rsidRDefault="009C0198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Inspección y </w:t>
            </w:r>
            <w:r w:rsidR="002966C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</w:t>
            </w: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igilancia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9C019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Gabriela</w:t>
            </w:r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Gpe</w:t>
            </w:r>
            <w:proofErr w:type="spellEnd"/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Torres </w:t>
            </w:r>
            <w:proofErr w:type="spellStart"/>
            <w:r w:rsidR="00406E38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</w:t>
            </w: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lide</w:t>
            </w:r>
            <w:proofErr w:type="spellEnd"/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proofErr w:type="spellStart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Sintia</w:t>
            </w:r>
            <w:proofErr w:type="spellEnd"/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Alejandra de dios Quezada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2966CC">
            <w:pPr>
              <w:spacing w:after="0"/>
              <w:rPr>
                <w:rFonts w:ascii="Arial" w:hAnsi="Arial" w:cs="Arial"/>
                <w:lang w:eastAsia="es-MX"/>
              </w:rPr>
            </w:pPr>
            <w:r w:rsidRPr="009978AB">
              <w:rPr>
                <w:rFonts w:ascii="Arial" w:hAnsi="Arial" w:cs="Arial"/>
                <w:lang w:eastAsia="es-MX"/>
              </w:rPr>
              <w:t xml:space="preserve">              </w:t>
            </w:r>
            <w:r w:rsidR="002966CC">
              <w:rPr>
                <w:rFonts w:ascii="Arial" w:hAnsi="Arial" w:cs="Arial"/>
                <w:lang w:eastAsia="es-MX"/>
              </w:rPr>
              <w:t>Inasistencia</w:t>
            </w:r>
            <w:r w:rsidRPr="009978AB">
              <w:rPr>
                <w:rFonts w:ascii="Arial" w:hAnsi="Arial" w:cs="Arial"/>
                <w:lang w:eastAsia="es-MX"/>
              </w:rPr>
              <w:t xml:space="preserve"> Injustificada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rPr>
                <w:rFonts w:ascii="Arial" w:hAnsi="Arial" w:cs="Arial"/>
                <w:lang w:eastAsia="es-MX"/>
              </w:rPr>
            </w:pP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406E38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Jorge Arturo Arroyo </w:t>
            </w:r>
            <w:r w:rsidR="002966CC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Farías</w:t>
            </w:r>
            <w:r w:rsidR="003B0B5A"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Sind. Héctor Acosta Negrete</w:t>
            </w:r>
          </w:p>
        </w:tc>
      </w:tr>
      <w:tr w:rsidR="003B0B5A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998" w:type="dxa"/>
            <w:shd w:val="clear" w:color="auto" w:fill="FFFFFF"/>
            <w:noWrap/>
            <w:vAlign w:val="bottom"/>
            <w:hideMark/>
          </w:tcPr>
          <w:p w:rsidR="003B0B5A" w:rsidRPr="009978AB" w:rsidRDefault="003B0B5A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9978AB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2966CC" w:rsidRPr="009978AB" w:rsidTr="002966CC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:rsidR="002966CC" w:rsidRPr="009978AB" w:rsidRDefault="002966CC" w:rsidP="009978AB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998" w:type="dxa"/>
            <w:shd w:val="clear" w:color="auto" w:fill="FFFFFF"/>
            <w:noWrap/>
            <w:vAlign w:val="bottom"/>
          </w:tcPr>
          <w:p w:rsidR="002966CC" w:rsidRPr="009978AB" w:rsidRDefault="002966CC" w:rsidP="002966CC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Inasistencia</w:t>
            </w:r>
            <w:r w:rsidRPr="009978AB">
              <w:rPr>
                <w:rFonts w:ascii="Arial" w:hAnsi="Arial" w:cs="Arial"/>
                <w:lang w:eastAsia="es-MX"/>
              </w:rPr>
              <w:t xml:space="preserve"> </w:t>
            </w:r>
            <w:r>
              <w:rPr>
                <w:rFonts w:ascii="Arial" w:hAnsi="Arial" w:cs="Arial"/>
                <w:lang w:eastAsia="es-MX"/>
              </w:rPr>
              <w:t>J</w:t>
            </w:r>
            <w:r w:rsidRPr="009978AB">
              <w:rPr>
                <w:rFonts w:ascii="Arial" w:hAnsi="Arial" w:cs="Arial"/>
                <w:lang w:eastAsia="es-MX"/>
              </w:rPr>
              <w:t>ustificada</w:t>
            </w:r>
          </w:p>
        </w:tc>
      </w:tr>
    </w:tbl>
    <w:p w:rsidR="00DD3923" w:rsidRPr="009978AB" w:rsidRDefault="002966CC" w:rsidP="002966CC">
      <w:pPr>
        <w:spacing w:after="0"/>
        <w:rPr>
          <w:rFonts w:ascii="Arial" w:hAnsi="Arial" w:cs="Arial"/>
        </w:rPr>
      </w:pPr>
    </w:p>
    <w:sectPr w:rsidR="00DD3923" w:rsidRPr="009978AB" w:rsidSect="009978AB">
      <w:pgSz w:w="12242" w:h="20163" w:code="5"/>
      <w:pgMar w:top="1701" w:right="1701" w:bottom="1701" w:left="29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5A"/>
    <w:rsid w:val="000A361A"/>
    <w:rsid w:val="002811B1"/>
    <w:rsid w:val="002966CC"/>
    <w:rsid w:val="003B0B5A"/>
    <w:rsid w:val="00406E38"/>
    <w:rsid w:val="00730FE7"/>
    <w:rsid w:val="009978AB"/>
    <w:rsid w:val="009C0198"/>
    <w:rsid w:val="00AB280F"/>
    <w:rsid w:val="00AD027A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8664F-5E27-410D-B42C-9CFFDAD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5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6</cp:revision>
  <dcterms:created xsi:type="dcterms:W3CDTF">2019-03-29T20:09:00Z</dcterms:created>
  <dcterms:modified xsi:type="dcterms:W3CDTF">2019-04-03T17:48:00Z</dcterms:modified>
</cp:coreProperties>
</file>